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Sample safety manual</w:t>
      </w:r>
    </w:p>
    <w:p w14:paraId="3AFC162D" w14:textId="5DD10352" w:rsidR="00C217BC" w:rsidRPr="003A4F9B" w:rsidRDefault="00101EEC"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 xml:space="preserve">Tank Building </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Pr="00010BC3">
        <w:rPr>
          <w:rFonts w:ascii="Calibri" w:eastAsia="Calibri" w:hAnsi="Calibri" w:cs="Calibri"/>
          <w:b/>
          <w:bCs/>
          <w:sz w:val="22"/>
          <w:szCs w:val="22"/>
        </w:rPr>
        <w:t xml:space="preserve">management or designee for their respective areas will: </w:t>
      </w:r>
    </w:p>
    <w:p w14:paraId="4790AB11"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13FF86A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4CDDF948"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7AB10A9B" w14:textId="624E264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5F63C1">
        <w:rPr>
          <w:rFonts w:asciiTheme="minorHAnsi" w:eastAsia="Calibri" w:hAnsiTheme="minorHAnsi" w:cstheme="minorHAnsi"/>
          <w:sz w:val="22"/>
          <w:szCs w:val="22"/>
        </w:rPr>
        <w:t>plan</w:t>
      </w:r>
      <w:r w:rsidRPr="00C33902">
        <w:rPr>
          <w:rFonts w:asciiTheme="minorHAnsi" w:eastAsia="Calibri" w:hAnsiTheme="minorHAnsi" w:cstheme="minorHAnsi"/>
          <w:sz w:val="22"/>
          <w:szCs w:val="22"/>
        </w:rPr>
        <w:t xml:space="preserve"> to ensure their safety</w:t>
      </w:r>
    </w:p>
    <w:p w14:paraId="74F0D923" w14:textId="6B1F6BA0"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r w:rsidR="005F63C1">
        <w:rPr>
          <w:rFonts w:asciiTheme="minorHAnsi" w:eastAsia="Calibri" w:hAnsiTheme="minorHAnsi" w:cstheme="minorHAnsi"/>
          <w:sz w:val="22"/>
          <w:szCs w:val="22"/>
        </w:rPr>
        <w:t>s</w:t>
      </w:r>
    </w:p>
    <w:p w14:paraId="56C7053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2C208978"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Fire evacuation:</w:t>
      </w:r>
    </w:p>
    <w:p w14:paraId="77467CAF"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662A3956"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CE68A81"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335C7724"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7D5378B7"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Severe weather:</w:t>
      </w:r>
    </w:p>
    <w:p w14:paraId="064B001E"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0650274A"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4BFFF1B0"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Bomb threat:</w:t>
      </w:r>
    </w:p>
    <w:p w14:paraId="34E7C26F"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3A1AD977"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Document as much information as possible</w:t>
      </w:r>
    </w:p>
    <w:p w14:paraId="33158C76"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 the incident immediately to the supervisor</w:t>
      </w:r>
    </w:p>
    <w:p w14:paraId="4E8AB131" w14:textId="02407C34" w:rsidR="00010BC3" w:rsidRPr="002E7545" w:rsidRDefault="005B4C2C" w:rsidP="002E7545">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lastRenderedPageBreak/>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lastRenderedPageBreak/>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lastRenderedPageBreak/>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415738F2" w:rsidR="003A4F9B"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p w14:paraId="24D86312" w14:textId="5456698F" w:rsidR="00101EEC" w:rsidRDefault="00101EEC" w:rsidP="00101EEC">
      <w:pPr>
        <w:spacing w:after="120"/>
        <w:rPr>
          <w:rFonts w:asciiTheme="minorHAnsi" w:hAnsiTheme="minorHAnsi" w:cstheme="minorHAnsi"/>
          <w:sz w:val="22"/>
          <w:szCs w:val="22"/>
        </w:rPr>
      </w:pPr>
    </w:p>
    <w:p w14:paraId="121C734F" w14:textId="69525453" w:rsidR="00101EEC" w:rsidRPr="00101EEC" w:rsidRDefault="00101EEC" w:rsidP="00101EEC">
      <w:pPr>
        <w:keepNext/>
        <w:keepLines/>
        <w:spacing w:after="120"/>
        <w:outlineLvl w:val="0"/>
        <w:rPr>
          <w:rFonts w:ascii="Calibri Light" w:eastAsiaTheme="majorEastAsia" w:hAnsi="Calibri Light" w:cs="Calibri Light"/>
          <w:b/>
          <w:color w:val="00B0F0"/>
          <w:sz w:val="28"/>
          <w:szCs w:val="32"/>
        </w:rPr>
      </w:pPr>
      <w:r>
        <w:rPr>
          <w:rFonts w:ascii="Calibri Light" w:eastAsiaTheme="majorEastAsia" w:hAnsi="Calibri Light" w:cs="Calibri Light"/>
          <w:b/>
          <w:color w:val="00B0F0"/>
          <w:sz w:val="28"/>
          <w:szCs w:val="32"/>
        </w:rPr>
        <w:t xml:space="preserve">Scaffolding </w:t>
      </w:r>
    </w:p>
    <w:p w14:paraId="74D9F8D7" w14:textId="5D7DF14D" w:rsidR="00101EEC" w:rsidRPr="00101EEC" w:rsidRDefault="00101EEC" w:rsidP="00101EEC">
      <w:pPr>
        <w:spacing w:after="120"/>
        <w:rPr>
          <w:rFonts w:asciiTheme="minorHAnsi" w:hAnsiTheme="minorHAnsi" w:cstheme="minorHAnsi"/>
          <w:sz w:val="20"/>
        </w:rPr>
      </w:pPr>
      <w:r w:rsidRPr="00101EEC">
        <w:rPr>
          <w:rFonts w:asciiTheme="minorHAnsi" w:hAnsiTheme="minorHAnsi" w:cstheme="minorHAnsi"/>
          <w:b/>
          <w:bCs/>
          <w:sz w:val="22"/>
          <w:szCs w:val="18"/>
        </w:rPr>
        <w:t>(Insert company name)</w:t>
      </w:r>
      <w:r w:rsidRPr="00101EEC">
        <w:rPr>
          <w:rFonts w:asciiTheme="minorHAnsi" w:hAnsiTheme="minorHAnsi" w:cstheme="minorHAnsi"/>
          <w:sz w:val="22"/>
          <w:szCs w:val="18"/>
        </w:rPr>
        <w:t xml:space="preserve"> will ensure that all potential hazards regarding scaffolding at our job sites are evaluated. The standard practice will address the issues of, evaluating and identifying potential deficiencies, evaluating the associated potential hazards, communicating information concerning these hazards, and establishing appropriate procedures and protective measures for employees. To ensure safety and serviceability, general precautions concerning the care and use of scaffolding will be observed. For more information on scaffolding, visit www.CompSourceMutual.com.</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4119AE82"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lastRenderedPageBreak/>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0BEDF47E"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be worn. Slip resistant soles may be required in some operations. Safety-toed footwear will be required in </w:t>
      </w:r>
      <w:r w:rsidR="00E8158C">
        <w:rPr>
          <w:rFonts w:ascii="Calibri" w:hAnsi="Calibri" w:cs="Calibri"/>
          <w:sz w:val="22"/>
          <w:szCs w:val="22"/>
        </w:rPr>
        <w:t>areas of the facility</w:t>
      </w:r>
      <w:r w:rsidRPr="00794533">
        <w:rPr>
          <w:rFonts w:ascii="Calibri" w:hAnsi="Calibri" w:cs="Calibri"/>
          <w:sz w:val="22"/>
          <w:szCs w:val="22"/>
        </w:rPr>
        <w:t xml:space="preserve"> where a higher-level risk of foot injury exists. Open toe shoes are prohibited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1F2A8E75"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r w:rsidR="002E7545" w:rsidRPr="00794533">
        <w:rPr>
          <w:rFonts w:ascii="Calibri" w:hAnsi="Calibri" w:cs="Calibri"/>
          <w:sz w:val="22"/>
          <w:szCs w:val="22"/>
        </w:rPr>
        <w:t>replaced,</w:t>
      </w:r>
      <w:r w:rsidRPr="00794533">
        <w:rPr>
          <w:rFonts w:ascii="Calibri" w:hAnsi="Calibri" w:cs="Calibri"/>
          <w:sz w:val="22"/>
          <w:szCs w:val="22"/>
        </w:rPr>
        <w:t xml:space="preserve"> as necessary. Contaminated clothing or gear will be removed and replaced when the contaminants pose a health or fire hazard. </w:t>
      </w:r>
    </w:p>
    <w:p w14:paraId="082AA410" w14:textId="66E4A605" w:rsidR="00E405A7" w:rsidRDefault="00E405A7" w:rsidP="00794533">
      <w:pPr>
        <w:pStyle w:val="BodyText2"/>
        <w:jc w:val="both"/>
        <w:rPr>
          <w:rFonts w:ascii="Calibri" w:hAnsi="Calibri" w:cs="Calibri"/>
          <w:sz w:val="22"/>
          <w:szCs w:val="22"/>
        </w:rPr>
      </w:pPr>
    </w:p>
    <w:p w14:paraId="6CC1EE19" w14:textId="77777777" w:rsidR="00E405A7" w:rsidRDefault="00E405A7" w:rsidP="00794533">
      <w:pPr>
        <w:pStyle w:val="BodyText2"/>
        <w:jc w:val="both"/>
        <w:rPr>
          <w:rFonts w:ascii="Calibri" w:hAnsi="Calibri" w:cs="Calibri"/>
          <w:sz w:val="22"/>
          <w:szCs w:val="22"/>
        </w:rPr>
      </w:pPr>
    </w:p>
    <w:p w14:paraId="0C1A0A61" w14:textId="0C9C1836" w:rsidR="00E405A7" w:rsidRPr="00E74178" w:rsidRDefault="00E405A7" w:rsidP="00E405A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Confined space</w:t>
      </w:r>
    </w:p>
    <w:p w14:paraId="3F1CE245" w14:textId="77777777" w:rsidR="00E405A7" w:rsidRPr="00E405A7" w:rsidRDefault="00E405A7" w:rsidP="00E405A7">
      <w:pPr>
        <w:pStyle w:val="BodyText2"/>
        <w:jc w:val="center"/>
        <w:rPr>
          <w:rFonts w:ascii="Calibri" w:hAnsi="Calibri" w:cs="Calibri"/>
          <w:b/>
          <w:bCs/>
          <w:sz w:val="22"/>
          <w:szCs w:val="22"/>
          <w:u w:val="single"/>
        </w:rPr>
      </w:pPr>
    </w:p>
    <w:p w14:paraId="4BE5FE08" w14:textId="77777777" w:rsidR="00E405A7" w:rsidRPr="00E405A7" w:rsidRDefault="00E405A7" w:rsidP="00E405A7">
      <w:pPr>
        <w:rPr>
          <w:rFonts w:ascii="Calibri" w:hAnsi="Calibri" w:cs="Calibri"/>
          <w:b/>
          <w:bCs/>
          <w:sz w:val="22"/>
          <w:szCs w:val="22"/>
        </w:rPr>
      </w:pPr>
      <w:r w:rsidRPr="00E405A7">
        <w:rPr>
          <w:rFonts w:ascii="Calibri" w:hAnsi="Calibri" w:cs="Calibri"/>
          <w:b/>
          <w:bCs/>
          <w:sz w:val="22"/>
          <w:szCs w:val="22"/>
        </w:rPr>
        <w:t>A Confined Space is space that:</w:t>
      </w:r>
    </w:p>
    <w:p w14:paraId="3653AC54" w14:textId="77777777" w:rsidR="00E405A7" w:rsidRDefault="00E405A7" w:rsidP="00E405A7">
      <w:pPr>
        <w:pStyle w:val="ListParagraph"/>
        <w:numPr>
          <w:ilvl w:val="0"/>
          <w:numId w:val="29"/>
        </w:numPr>
        <w:rPr>
          <w:rFonts w:ascii="Calibri" w:hAnsi="Calibri" w:cs="Calibri"/>
        </w:rPr>
      </w:pPr>
      <w:r w:rsidRPr="00E405A7">
        <w:rPr>
          <w:rFonts w:ascii="Calibri" w:hAnsi="Calibri" w:cs="Calibri"/>
        </w:rPr>
        <w:t>Is large enough and so configured that an employee can bodily enter and perform assigned work</w:t>
      </w:r>
    </w:p>
    <w:p w14:paraId="34EE21B8" w14:textId="77777777" w:rsidR="00E405A7" w:rsidRDefault="00E405A7" w:rsidP="00E405A7">
      <w:pPr>
        <w:pStyle w:val="ListParagraph"/>
        <w:numPr>
          <w:ilvl w:val="0"/>
          <w:numId w:val="29"/>
        </w:numPr>
        <w:rPr>
          <w:rFonts w:ascii="Calibri" w:hAnsi="Calibri" w:cs="Calibri"/>
        </w:rPr>
      </w:pPr>
      <w:r w:rsidRPr="00E405A7">
        <w:rPr>
          <w:rFonts w:ascii="Calibri" w:hAnsi="Calibri" w:cs="Calibri"/>
        </w:rPr>
        <w:t>Has limited or restricted means of entry or exi</w:t>
      </w:r>
      <w:r>
        <w:rPr>
          <w:rFonts w:ascii="Calibri" w:hAnsi="Calibri" w:cs="Calibri"/>
        </w:rPr>
        <w:t xml:space="preserve">t, and </w:t>
      </w:r>
    </w:p>
    <w:p w14:paraId="61AB1ECE" w14:textId="1AEDCA64" w:rsidR="00E405A7" w:rsidRPr="002E7545" w:rsidRDefault="00E405A7" w:rsidP="00E405A7">
      <w:pPr>
        <w:pStyle w:val="ListParagraph"/>
        <w:numPr>
          <w:ilvl w:val="0"/>
          <w:numId w:val="29"/>
        </w:numPr>
        <w:rPr>
          <w:rFonts w:ascii="Calibri" w:hAnsi="Calibri" w:cs="Calibri"/>
        </w:rPr>
      </w:pPr>
      <w:r w:rsidRPr="00E405A7">
        <w:rPr>
          <w:rFonts w:ascii="Calibri" w:hAnsi="Calibri" w:cs="Calibri"/>
        </w:rPr>
        <w:t>Is not designed for continuous employee occupancy.</w:t>
      </w:r>
    </w:p>
    <w:p w14:paraId="5E0CA53D" w14:textId="3679468B" w:rsidR="002E7545" w:rsidRPr="00101EEC" w:rsidRDefault="00E405A7" w:rsidP="00101EEC">
      <w:pPr>
        <w:pStyle w:val="NormalWeb"/>
        <w:rPr>
          <w:rFonts w:ascii="Calibri" w:hAnsi="Calibri" w:cs="Calibri"/>
          <w:sz w:val="22"/>
          <w:szCs w:val="22"/>
        </w:rPr>
      </w:pPr>
      <w:r w:rsidRPr="00E405A7">
        <w:rPr>
          <w:rFonts w:ascii="Calibri" w:hAnsi="Calibri" w:cs="Calibri"/>
          <w:sz w:val="22"/>
          <w:szCs w:val="22"/>
        </w:rPr>
        <w:t>The hazards that may be present in a confined space are not easily seen, smelled, heard or felt, but can represent deadly risks. Before employees can enter a confined space, they must receive proper training and follow procedures</w:t>
      </w:r>
      <w:r>
        <w:rPr>
          <w:rFonts w:ascii="Calibri" w:hAnsi="Calibri" w:cs="Calibr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confined spaces</w:t>
      </w:r>
      <w:r w:rsidRPr="00E74178">
        <w:rPr>
          <w:rFonts w:asciiTheme="minorHAnsi" w:hAnsiTheme="minorHAnsi" w:cstheme="minorHAnsi"/>
          <w:sz w:val="22"/>
          <w:szCs w:val="22"/>
        </w:rPr>
        <w:t xml:space="preserve">,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0934C9F" w14:textId="77777777" w:rsidR="002E7545" w:rsidRDefault="002E7545"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7C2736E5" w14:textId="77777777" w:rsidR="00101EEC" w:rsidRDefault="00101EEC" w:rsidP="003A4F9B">
      <w:pPr>
        <w:pStyle w:val="BodyText2"/>
        <w:rPr>
          <w:rFonts w:ascii="Calibri Light" w:eastAsiaTheme="majorEastAsia" w:hAnsi="Calibri Light" w:cstheme="majorBidi"/>
          <w:b/>
          <w:color w:val="00B0F0"/>
          <w:sz w:val="28"/>
          <w:szCs w:val="32"/>
        </w:rPr>
      </w:pPr>
    </w:p>
    <w:p w14:paraId="64B03AF7" w14:textId="65940F98"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w:t>
      </w:r>
      <w:r w:rsidR="00E405A7">
        <w:rPr>
          <w:rFonts w:ascii="Calibri Light" w:eastAsiaTheme="majorEastAsia" w:hAnsi="Calibri Light" w:cstheme="majorBidi"/>
          <w:b/>
          <w:color w:val="00B0F0"/>
          <w:sz w:val="28"/>
          <w:szCs w:val="32"/>
        </w:rPr>
        <w:t>s and scissor lifts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229B82C5"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w:t>
      </w:r>
      <w:r w:rsidR="00E405A7">
        <w:rPr>
          <w:rFonts w:asciiTheme="minorHAnsi" w:hAnsiTheme="minorHAnsi" w:cstheme="minorHAnsi"/>
          <w:sz w:val="22"/>
          <w:szCs w:val="22"/>
        </w:rPr>
        <w:t xml:space="preserve"> and </w:t>
      </w:r>
      <w:r w:rsidR="002C786B">
        <w:rPr>
          <w:rFonts w:asciiTheme="minorHAnsi" w:hAnsiTheme="minorHAnsi" w:cstheme="minorHAnsi"/>
          <w:sz w:val="22"/>
          <w:szCs w:val="22"/>
        </w:rPr>
        <w:t>scissor lifts</w:t>
      </w:r>
      <w:r w:rsidR="00E405A7">
        <w:rPr>
          <w:rFonts w:asciiTheme="minorHAnsi" w:hAnsiTheme="minorHAnsi" w:cstheme="minorHAnsi"/>
          <w:sz w:val="22"/>
          <w:szCs w:val="22"/>
        </w:rPr>
        <w:t xml:space="preserve"> </w:t>
      </w:r>
      <w:r w:rsidRPr="003A4F9B">
        <w:rPr>
          <w:rFonts w:asciiTheme="minorHAnsi" w:hAnsiTheme="minorHAnsi" w:cstheme="minorHAnsi"/>
          <w:sz w:val="22"/>
          <w:szCs w:val="22"/>
        </w:rPr>
        <w:t xml:space="preserve">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06ACE18"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7A634BCF" w:rsidR="007210AB" w:rsidRDefault="00CB7EF0" w:rsidP="003625E2">
      <w:pPr>
        <w:pStyle w:val="BodyText2"/>
        <w:jc w:val="both"/>
        <w:rPr>
          <w:rFonts w:asciiTheme="minorHAnsi" w:hAnsiTheme="minorHAnsi" w:cstheme="minorHAnsi"/>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4E60460D" w14:textId="77777777" w:rsidR="002D51D1" w:rsidRPr="003A4F9B" w:rsidRDefault="002D51D1" w:rsidP="003625E2">
      <w:pPr>
        <w:pStyle w:val="BodyText2"/>
        <w:jc w:val="both"/>
        <w:rPr>
          <w:rFonts w:asciiTheme="minorHAnsi" w:hAnsiTheme="minorHAnsi" w:cstheme="minorHAnsi"/>
          <w:i/>
          <w:iCs/>
          <w:sz w:val="22"/>
          <w:szCs w:val="22"/>
        </w:rPr>
      </w:pPr>
    </w:p>
    <w:p w14:paraId="684539FC" w14:textId="77777777" w:rsidR="00C217BC" w:rsidRPr="003A4F9B" w:rsidRDefault="00C217BC">
      <w:pPr>
        <w:pStyle w:val="BodyText2"/>
        <w:jc w:val="both"/>
        <w:rPr>
          <w:rFonts w:asciiTheme="minorHAnsi" w:hAnsiTheme="minorHAnsi" w:cstheme="minorHAnsi"/>
          <w:i/>
          <w:iCs/>
          <w:sz w:val="22"/>
          <w:szCs w:val="22"/>
        </w:rPr>
      </w:pPr>
    </w:p>
    <w:p w14:paraId="55F06A2F" w14:textId="7B4D7643" w:rsidR="002D51D1" w:rsidRPr="00CB7EF0" w:rsidRDefault="002D51D1" w:rsidP="002D51D1">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Operation of cranes</w:t>
      </w:r>
    </w:p>
    <w:p w14:paraId="2866741F" w14:textId="77777777" w:rsidR="002D51D1" w:rsidRDefault="002D51D1" w:rsidP="002D51D1">
      <w:pPr>
        <w:pStyle w:val="BodyText2"/>
        <w:ind w:left="2160" w:firstLine="720"/>
        <w:jc w:val="both"/>
        <w:rPr>
          <w:b/>
          <w:bCs/>
        </w:rPr>
      </w:pPr>
    </w:p>
    <w:p w14:paraId="7D81A38C" w14:textId="10B6D421" w:rsidR="002D51D1" w:rsidRPr="002D51D1" w:rsidRDefault="002D51D1" w:rsidP="002D51D1">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Only qualified and properly designated people shall operate a crane</w:t>
      </w:r>
      <w:r>
        <w:rPr>
          <w:rStyle w:val="blueten1"/>
          <w:rFonts w:asciiTheme="minorHAnsi" w:hAnsiTheme="minorHAnsi" w:cstheme="minorHAnsi"/>
          <w:sz w:val="22"/>
          <w:szCs w:val="22"/>
        </w:rPr>
        <w:t>.</w:t>
      </w:r>
    </w:p>
    <w:p w14:paraId="716C2D57" w14:textId="77777777" w:rsidR="002D51D1" w:rsidRPr="002D51D1" w:rsidRDefault="002D51D1" w:rsidP="002D51D1">
      <w:pPr>
        <w:pStyle w:val="BodyText2"/>
        <w:jc w:val="both"/>
        <w:rPr>
          <w:rStyle w:val="blueten1"/>
          <w:rFonts w:asciiTheme="minorHAnsi" w:hAnsiTheme="minorHAnsi" w:cstheme="minorHAnsi"/>
          <w:sz w:val="22"/>
          <w:szCs w:val="22"/>
        </w:rPr>
      </w:pPr>
    </w:p>
    <w:p w14:paraId="5E1449A1" w14:textId="77777777" w:rsidR="002D51D1" w:rsidRPr="002D51D1" w:rsidRDefault="002D51D1" w:rsidP="002D51D1">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Before operations begin for the day, an inspection needs to be conducted to ensure that the machine is in proper working condition.</w:t>
      </w:r>
    </w:p>
    <w:p w14:paraId="4B599C66" w14:textId="77777777" w:rsidR="002D51D1" w:rsidRPr="002D51D1" w:rsidRDefault="002D51D1" w:rsidP="002D51D1">
      <w:pPr>
        <w:pStyle w:val="BodyText2"/>
        <w:jc w:val="both"/>
        <w:rPr>
          <w:rStyle w:val="blueten1"/>
          <w:rFonts w:asciiTheme="minorHAnsi" w:hAnsiTheme="minorHAnsi" w:cstheme="minorHAnsi"/>
          <w:sz w:val="22"/>
          <w:szCs w:val="22"/>
        </w:rPr>
      </w:pPr>
    </w:p>
    <w:p w14:paraId="5BAC2986" w14:textId="3A69B6E3" w:rsidR="002D51D1" w:rsidRDefault="002D51D1" w:rsidP="002D51D1">
      <w:pPr>
        <w:pStyle w:val="BodyText2"/>
        <w:jc w:val="both"/>
        <w:rPr>
          <w:rFonts w:asciiTheme="minorHAnsi" w:hAnsiTheme="minorHAnsi" w:cstheme="minorHAnsi"/>
          <w:sz w:val="22"/>
          <w:szCs w:val="22"/>
        </w:rPr>
      </w:pPr>
      <w:r w:rsidRPr="002D51D1">
        <w:rPr>
          <w:rFonts w:asciiTheme="minorHAnsi" w:hAnsiTheme="minorHAnsi" w:cstheme="minorHAnsi"/>
          <w:sz w:val="22"/>
          <w:szCs w:val="22"/>
        </w:rPr>
        <w:t xml:space="preserve">When a crane is being used to raise or lower materials outside of the operator’s direct view, one person in clear view of both the load and the operator shall give standard hand signals and the operator shall accept his signals only. </w:t>
      </w:r>
      <w:r w:rsidRPr="00E74178">
        <w:rPr>
          <w:rFonts w:asciiTheme="minorHAnsi" w:hAnsiTheme="minorHAnsi" w:cstheme="minorHAnsi"/>
          <w:sz w:val="22"/>
          <w:szCs w:val="22"/>
        </w:rPr>
        <w:t>For</w:t>
      </w:r>
      <w:r w:rsidR="00101EEC">
        <w:rPr>
          <w:rFonts w:asciiTheme="minorHAnsi" w:hAnsiTheme="minorHAnsi" w:cstheme="minorHAnsi"/>
          <w:sz w:val="22"/>
          <w:szCs w:val="22"/>
        </w:rPr>
        <w:t xml:space="preserve"> </w:t>
      </w:r>
      <w:r w:rsidRPr="00E74178">
        <w:rPr>
          <w:rFonts w:asciiTheme="minorHAnsi" w:hAnsiTheme="minorHAnsi" w:cstheme="minorHAnsi"/>
          <w:sz w:val="22"/>
          <w:szCs w:val="22"/>
        </w:rPr>
        <w:t xml:space="preserve">more information on </w:t>
      </w:r>
      <w:r>
        <w:rPr>
          <w:rFonts w:asciiTheme="minorHAnsi" w:hAnsiTheme="minorHAnsi" w:cstheme="minorHAnsi"/>
          <w:sz w:val="22"/>
          <w:szCs w:val="22"/>
        </w:rPr>
        <w:t>safe crane operation</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36EC1911" w:rsidR="00401DB7" w:rsidRDefault="00401DB7">
      <w:pPr>
        <w:pStyle w:val="BodyText2"/>
        <w:jc w:val="both"/>
        <w:rPr>
          <w:rFonts w:ascii="Calibri" w:hAnsi="Calibri" w:cs="Calibri"/>
          <w:sz w:val="22"/>
          <w:szCs w:val="22"/>
        </w:rPr>
      </w:pPr>
    </w:p>
    <w:p w14:paraId="1A8A7207" w14:textId="77777777" w:rsidR="00E405A7" w:rsidRPr="00E405A7" w:rsidRDefault="00E405A7">
      <w:pPr>
        <w:pStyle w:val="BodyText2"/>
        <w:jc w:val="both"/>
        <w:rPr>
          <w:rFonts w:ascii="Calibri" w:hAnsi="Calibri" w:cs="Calibri"/>
          <w:sz w:val="22"/>
          <w:szCs w:val="22"/>
        </w:rPr>
      </w:pPr>
    </w:p>
    <w:p w14:paraId="4A332C51" w14:textId="2837F3D6" w:rsidR="002E7545" w:rsidRDefault="002E7545" w:rsidP="00EE7745">
      <w:pPr>
        <w:pStyle w:val="BodyText2"/>
        <w:jc w:val="both"/>
        <w:rPr>
          <w:rFonts w:asciiTheme="minorHAnsi" w:hAnsiTheme="minorHAnsi" w:cstheme="minorHAnsi"/>
          <w:sz w:val="22"/>
          <w:szCs w:val="22"/>
        </w:rPr>
      </w:pPr>
    </w:p>
    <w:p w14:paraId="059210CB" w14:textId="77777777" w:rsidR="002E7545" w:rsidRPr="003A4F9B" w:rsidRDefault="002E7545" w:rsidP="00EE7745">
      <w:pPr>
        <w:pStyle w:val="BodyText2"/>
        <w:jc w:val="both"/>
        <w:rPr>
          <w:rFonts w:asciiTheme="minorHAnsi" w:hAnsiTheme="minorHAnsi" w:cstheme="minorHAnsi"/>
          <w:i/>
          <w:iCs/>
          <w:sz w:val="22"/>
          <w:szCs w:val="22"/>
        </w:rPr>
      </w:pPr>
    </w:p>
    <w:p w14:paraId="17929111" w14:textId="77777777" w:rsidR="00E405A7" w:rsidRPr="00E405A7" w:rsidRDefault="00E405A7" w:rsidP="00E405A7">
      <w:pPr>
        <w:pStyle w:val="BodyText2"/>
        <w:rPr>
          <w:rFonts w:ascii="Calibri" w:hAnsi="Calibri" w:cs="Calibri"/>
          <w:i/>
          <w:iCs/>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1F1B546B" w14:textId="77777777" w:rsidR="00101EEC" w:rsidRDefault="00101EEC" w:rsidP="003A4F9B">
      <w:pPr>
        <w:pStyle w:val="BodyText2"/>
        <w:rPr>
          <w:rFonts w:ascii="Calibri Light" w:eastAsiaTheme="majorEastAsia" w:hAnsi="Calibri Light" w:cstheme="majorBidi"/>
          <w:b/>
          <w:color w:val="00B0F0"/>
          <w:sz w:val="28"/>
          <w:szCs w:val="32"/>
        </w:rPr>
      </w:pPr>
    </w:p>
    <w:p w14:paraId="28E1F1D1" w14:textId="0499E60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4F9AEA20"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199FACCA"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1DB475AF" w14:textId="77777777" w:rsidR="002D51D1" w:rsidRDefault="002D51D1" w:rsidP="001779FE">
      <w:pPr>
        <w:pStyle w:val="BodyText2"/>
        <w:jc w:val="both"/>
        <w:rPr>
          <w:rFonts w:asciiTheme="minorHAnsi" w:hAnsiTheme="minorHAnsi" w:cstheme="minorHAnsi"/>
          <w:sz w:val="22"/>
          <w:szCs w:val="22"/>
        </w:rPr>
      </w:pPr>
    </w:p>
    <w:p w14:paraId="0F096AA8" w14:textId="774D6846" w:rsidR="00794533" w:rsidRDefault="00794533" w:rsidP="001779FE">
      <w:pPr>
        <w:pStyle w:val="BodyText2"/>
        <w:jc w:val="both"/>
        <w:rPr>
          <w:rFonts w:asciiTheme="minorHAnsi" w:hAnsiTheme="minorHAnsi" w:cstheme="minorHAnsi"/>
          <w:sz w:val="22"/>
          <w:szCs w:val="22"/>
        </w:rPr>
      </w:pPr>
    </w:p>
    <w:p w14:paraId="22AF6D95" w14:textId="1468756F" w:rsidR="002D51D1" w:rsidRDefault="002D51D1" w:rsidP="002D51D1">
      <w:pPr>
        <w:pStyle w:val="BodyText2"/>
        <w:rPr>
          <w:b/>
          <w:bCs/>
          <w:u w:val="single"/>
        </w:rPr>
      </w:pPr>
      <w:r>
        <w:rPr>
          <w:rFonts w:ascii="Calibri Light" w:eastAsiaTheme="majorEastAsia" w:hAnsi="Calibri Light" w:cstheme="majorBidi"/>
          <w:b/>
          <w:color w:val="00B0F0"/>
          <w:sz w:val="28"/>
          <w:szCs w:val="32"/>
        </w:rPr>
        <w:t>Welding operations</w:t>
      </w:r>
    </w:p>
    <w:p w14:paraId="3F0BA83F" w14:textId="77777777" w:rsidR="002D51D1" w:rsidRDefault="002D51D1" w:rsidP="002D51D1">
      <w:pPr>
        <w:pStyle w:val="BodyText2"/>
        <w:ind w:left="720"/>
      </w:pPr>
    </w:p>
    <w:p w14:paraId="3D425ECA"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363B466C" w14:textId="77777777" w:rsidR="002D51D1" w:rsidRPr="002D51D1" w:rsidRDefault="002D51D1" w:rsidP="002D51D1">
      <w:pPr>
        <w:pStyle w:val="BodyText2"/>
        <w:ind w:left="720"/>
        <w:rPr>
          <w:rFonts w:ascii="Calibri" w:hAnsi="Calibri" w:cs="Calibri"/>
          <w:sz w:val="22"/>
          <w:szCs w:val="22"/>
        </w:rPr>
      </w:pPr>
    </w:p>
    <w:p w14:paraId="1B096B50"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Hoods must be in place before you strike an arc and at all times while welding.</w:t>
      </w:r>
    </w:p>
    <w:p w14:paraId="536699E1" w14:textId="77777777" w:rsidR="002D51D1" w:rsidRPr="002D51D1" w:rsidRDefault="002D51D1" w:rsidP="002D51D1">
      <w:pPr>
        <w:pStyle w:val="BodyText2"/>
        <w:ind w:left="720"/>
        <w:rPr>
          <w:rFonts w:ascii="Calibri" w:hAnsi="Calibri" w:cs="Calibri"/>
          <w:sz w:val="22"/>
          <w:szCs w:val="22"/>
        </w:rPr>
      </w:pPr>
    </w:p>
    <w:p w14:paraId="222A20F6" w14:textId="3B63691C"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453F3723" w14:textId="77777777" w:rsidR="002D51D1" w:rsidRPr="002D51D1" w:rsidRDefault="002D51D1" w:rsidP="002D51D1">
      <w:pPr>
        <w:pStyle w:val="BodyText2"/>
        <w:rPr>
          <w:rFonts w:ascii="Calibri" w:hAnsi="Calibri" w:cs="Calibri"/>
          <w:sz w:val="22"/>
          <w:szCs w:val="22"/>
        </w:rPr>
      </w:pPr>
    </w:p>
    <w:p w14:paraId="25331547"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33C41D49" w14:textId="77777777" w:rsidR="002D51D1" w:rsidRPr="002D51D1" w:rsidRDefault="002D51D1" w:rsidP="002D51D1">
      <w:pPr>
        <w:pStyle w:val="BodyText2"/>
        <w:rPr>
          <w:rFonts w:ascii="Calibri" w:hAnsi="Calibri" w:cs="Calibri"/>
          <w:sz w:val="22"/>
          <w:szCs w:val="22"/>
        </w:rPr>
      </w:pPr>
    </w:p>
    <w:p w14:paraId="10DBE9D1" w14:textId="06EA5511" w:rsidR="002D51D1" w:rsidRDefault="002D51D1" w:rsidP="002E7545">
      <w:pPr>
        <w:pStyle w:val="BodyText2"/>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2"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51774505" w14:textId="77777777" w:rsidR="002E7545" w:rsidRDefault="002E7545" w:rsidP="002D51D1">
      <w:pPr>
        <w:pStyle w:val="BodyText2"/>
      </w:pPr>
    </w:p>
    <w:p w14:paraId="64F893BD" w14:textId="7ECE754F" w:rsidR="002D51D1" w:rsidRDefault="002D51D1" w:rsidP="002D51D1">
      <w:pPr>
        <w:pStyle w:val="BodyText2"/>
        <w:rPr>
          <w:b/>
          <w:bCs/>
          <w:u w:val="single"/>
        </w:rPr>
      </w:pPr>
      <w:r>
        <w:rPr>
          <w:rFonts w:ascii="Calibri Light" w:eastAsiaTheme="majorEastAsia" w:hAnsi="Calibri Light" w:cstheme="majorBidi"/>
          <w:b/>
          <w:color w:val="00B0F0"/>
          <w:sz w:val="28"/>
          <w:szCs w:val="32"/>
        </w:rPr>
        <w:t>Cutting operations</w:t>
      </w:r>
    </w:p>
    <w:p w14:paraId="29B55A51" w14:textId="77777777" w:rsidR="002D51D1" w:rsidRDefault="002D51D1" w:rsidP="002D51D1">
      <w:pPr>
        <w:pStyle w:val="BodyText2"/>
        <w:jc w:val="center"/>
        <w:rPr>
          <w:b/>
          <w:u w:val="single"/>
        </w:rPr>
      </w:pPr>
    </w:p>
    <w:p w14:paraId="2D5694AB"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Torches, hoses and gauges will be maintained in proper working order.</w:t>
      </w:r>
    </w:p>
    <w:p w14:paraId="6D922348" w14:textId="77777777" w:rsidR="002D51D1" w:rsidRPr="002D51D1" w:rsidRDefault="002D51D1" w:rsidP="002D51D1">
      <w:pPr>
        <w:pStyle w:val="BodyText2"/>
        <w:ind w:left="720"/>
        <w:jc w:val="both"/>
        <w:rPr>
          <w:rFonts w:ascii="Calibri" w:hAnsi="Calibri" w:cs="Calibri"/>
          <w:sz w:val="22"/>
          <w:szCs w:val="22"/>
        </w:rPr>
      </w:pPr>
    </w:p>
    <w:p w14:paraId="1A608615" w14:textId="05C0340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 xml:space="preserve">Gas cylinders must be kept in </w:t>
      </w:r>
      <w:r>
        <w:rPr>
          <w:rFonts w:ascii="Calibri" w:hAnsi="Calibri" w:cs="Calibri"/>
          <w:sz w:val="22"/>
          <w:szCs w:val="22"/>
        </w:rPr>
        <w:t>a rack, stand</w:t>
      </w:r>
      <w:r w:rsidRPr="002D51D1">
        <w:rPr>
          <w:rFonts w:ascii="Calibri" w:hAnsi="Calibri" w:cs="Calibri"/>
          <w:sz w:val="22"/>
          <w:szCs w:val="22"/>
        </w:rPr>
        <w:t xml:space="preserve"> or set in an upright position and properly secured to prevent </w:t>
      </w:r>
      <w:r>
        <w:rPr>
          <w:rFonts w:ascii="Calibri" w:hAnsi="Calibri" w:cs="Calibri"/>
          <w:sz w:val="22"/>
          <w:szCs w:val="22"/>
        </w:rPr>
        <w:t>them from</w:t>
      </w:r>
      <w:r w:rsidRPr="002D51D1">
        <w:rPr>
          <w:rFonts w:ascii="Calibri" w:hAnsi="Calibri" w:cs="Calibri"/>
          <w:sz w:val="22"/>
          <w:szCs w:val="22"/>
        </w:rPr>
        <w:t xml:space="preserve"> being knocked over. They should be transported in an upright position with regulators removed and cylinder caps in place.</w:t>
      </w:r>
    </w:p>
    <w:p w14:paraId="0404901A" w14:textId="77777777" w:rsidR="002D51D1" w:rsidRPr="002D51D1" w:rsidRDefault="002D51D1" w:rsidP="002D51D1">
      <w:pPr>
        <w:pStyle w:val="BodyText2"/>
        <w:jc w:val="both"/>
        <w:rPr>
          <w:rFonts w:ascii="Calibri" w:hAnsi="Calibri" w:cs="Calibri"/>
          <w:sz w:val="22"/>
          <w:szCs w:val="22"/>
        </w:rPr>
      </w:pPr>
    </w:p>
    <w:p w14:paraId="3E18D8F6"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14:paraId="5A4832F4" w14:textId="77777777" w:rsidR="002D51D1" w:rsidRPr="002D51D1" w:rsidRDefault="002D51D1" w:rsidP="002D51D1">
      <w:pPr>
        <w:pStyle w:val="BodyText2"/>
        <w:jc w:val="both"/>
        <w:rPr>
          <w:rFonts w:ascii="Calibri" w:hAnsi="Calibri" w:cs="Calibri"/>
          <w:sz w:val="22"/>
          <w:szCs w:val="22"/>
        </w:rPr>
      </w:pPr>
    </w:p>
    <w:p w14:paraId="1ED78F76" w14:textId="6528D3AD"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w:t>
      </w:r>
      <w:r>
        <w:rPr>
          <w:rFonts w:ascii="Calibri" w:hAnsi="Calibri" w:cs="Calibri"/>
          <w:sz w:val="22"/>
          <w:szCs w:val="22"/>
        </w:rPr>
        <w:t xml:space="preserve"> </w:t>
      </w:r>
      <w:r w:rsidRPr="002D51D1">
        <w:rPr>
          <w:rFonts w:ascii="Calibri" w:hAnsi="Calibri" w:cs="Calibri"/>
          <w:sz w:val="22"/>
          <w:szCs w:val="22"/>
        </w:rPr>
        <w:t xml:space="preserve">or any other equipment with oily or greasy hands or gloves. Oxygen will react with oil and grease in </w:t>
      </w:r>
      <w:r w:rsidR="002E7545">
        <w:rPr>
          <w:rFonts w:ascii="Calibri" w:hAnsi="Calibri" w:cs="Calibri"/>
          <w:sz w:val="22"/>
          <w:szCs w:val="22"/>
        </w:rPr>
        <w:t>a way</w:t>
      </w:r>
      <w:r w:rsidRPr="002D51D1">
        <w:rPr>
          <w:rFonts w:ascii="Calibri" w:hAnsi="Calibri" w:cs="Calibri"/>
          <w:sz w:val="22"/>
          <w:szCs w:val="22"/>
        </w:rPr>
        <w:t xml:space="preserve"> that may result in a fire or explosion.</w:t>
      </w:r>
    </w:p>
    <w:p w14:paraId="4EA76D05" w14:textId="77777777" w:rsidR="002D51D1" w:rsidRPr="002D51D1" w:rsidRDefault="002D51D1" w:rsidP="002D51D1">
      <w:pPr>
        <w:pStyle w:val="BodyText2"/>
        <w:jc w:val="both"/>
        <w:rPr>
          <w:rFonts w:ascii="Calibri" w:hAnsi="Calibri" w:cs="Calibri"/>
          <w:sz w:val="22"/>
          <w:szCs w:val="22"/>
        </w:rPr>
      </w:pPr>
    </w:p>
    <w:p w14:paraId="080E39C7"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14:paraId="24CB3C6B" w14:textId="77777777" w:rsidR="002D51D1" w:rsidRPr="002D51D1" w:rsidRDefault="002D51D1" w:rsidP="002D51D1">
      <w:pPr>
        <w:pStyle w:val="BodyText2"/>
        <w:jc w:val="both"/>
        <w:rPr>
          <w:rFonts w:ascii="Calibri" w:hAnsi="Calibri" w:cs="Calibri"/>
          <w:sz w:val="22"/>
          <w:szCs w:val="22"/>
        </w:rPr>
      </w:pPr>
    </w:p>
    <w:p w14:paraId="23D9A665"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Always release pressure on adjusting screw before opening cylinder valve.</w:t>
      </w:r>
    </w:p>
    <w:p w14:paraId="6FD13C24" w14:textId="77777777" w:rsidR="002D51D1" w:rsidRPr="002D51D1" w:rsidRDefault="002D51D1" w:rsidP="002D51D1">
      <w:pPr>
        <w:pStyle w:val="BodyText2"/>
        <w:jc w:val="both"/>
        <w:rPr>
          <w:rFonts w:ascii="Calibri" w:hAnsi="Calibri" w:cs="Calibri"/>
          <w:sz w:val="22"/>
          <w:szCs w:val="22"/>
        </w:rPr>
      </w:pPr>
    </w:p>
    <w:p w14:paraId="48FD2DE9"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33D70ECC" w14:textId="77777777" w:rsidR="002D51D1" w:rsidRPr="002D51D1" w:rsidRDefault="002D51D1" w:rsidP="002D51D1">
      <w:pPr>
        <w:pStyle w:val="BodyText2"/>
        <w:jc w:val="both"/>
        <w:rPr>
          <w:rFonts w:ascii="Calibri" w:hAnsi="Calibri" w:cs="Calibri"/>
          <w:sz w:val="22"/>
          <w:szCs w:val="22"/>
        </w:rPr>
      </w:pPr>
    </w:p>
    <w:p w14:paraId="5C5F8911"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Open cylinder valve SLOWLY. The oxygen cylinder valve should be opened completely, acetylene cylinder valve should be opened ½ to 1 turn, and other fuel gas cylinders should be opened completely.</w:t>
      </w:r>
    </w:p>
    <w:p w14:paraId="581A2CA9" w14:textId="77777777" w:rsidR="002D51D1" w:rsidRPr="002D51D1" w:rsidRDefault="002D51D1" w:rsidP="002D51D1">
      <w:pPr>
        <w:pStyle w:val="BodyText2"/>
        <w:jc w:val="both"/>
        <w:rPr>
          <w:rFonts w:ascii="Calibri" w:hAnsi="Calibri" w:cs="Calibri"/>
          <w:sz w:val="22"/>
          <w:szCs w:val="22"/>
        </w:rPr>
      </w:pPr>
    </w:p>
    <w:p w14:paraId="7F304747" w14:textId="742E2C9D" w:rsidR="002D51D1" w:rsidRPr="002D51D1" w:rsidRDefault="002E7545" w:rsidP="002D51D1">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w:t>
      </w:r>
      <w:r w:rsidR="002D51D1" w:rsidRPr="002D51D1">
        <w:rPr>
          <w:rFonts w:ascii="Calibri" w:hAnsi="Calibri" w:cs="Calibri"/>
          <w:sz w:val="22"/>
          <w:szCs w:val="22"/>
        </w:rPr>
        <w:t xml:space="preserve"> for prompt emergency shutoff.</w:t>
      </w:r>
    </w:p>
    <w:p w14:paraId="7A2B609B" w14:textId="77777777" w:rsidR="002D51D1" w:rsidRPr="002D51D1" w:rsidRDefault="002D51D1" w:rsidP="002D51D1">
      <w:pPr>
        <w:pStyle w:val="BodyText2"/>
        <w:jc w:val="both"/>
        <w:rPr>
          <w:rFonts w:ascii="Calibri" w:hAnsi="Calibri" w:cs="Calibri"/>
          <w:sz w:val="22"/>
          <w:szCs w:val="22"/>
        </w:rPr>
      </w:pPr>
    </w:p>
    <w:p w14:paraId="55DB05BE" w14:textId="77777777" w:rsidR="002D51D1" w:rsidRPr="002D51D1" w:rsidRDefault="002D51D1" w:rsidP="002D51D1">
      <w:pPr>
        <w:pStyle w:val="BodyText2"/>
        <w:jc w:val="both"/>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3"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D261736" w14:textId="4E782390" w:rsidR="002D51D1" w:rsidRPr="002D51D1" w:rsidRDefault="002D51D1" w:rsidP="002D51D1">
      <w:pPr>
        <w:pStyle w:val="BodyText2"/>
        <w:rPr>
          <w:rFonts w:ascii="Calibri" w:hAnsi="Calibri" w:cs="Calibri"/>
          <w:i/>
          <w:iCs/>
          <w:sz w:val="22"/>
          <w:szCs w:val="22"/>
        </w:rPr>
      </w:pPr>
    </w:p>
    <w:p w14:paraId="69556B06" w14:textId="77777777" w:rsidR="002D51D1" w:rsidRDefault="002D51D1" w:rsidP="002D51D1">
      <w:pPr>
        <w:pStyle w:val="BodyText2"/>
        <w:ind w:left="720"/>
      </w:pPr>
    </w:p>
    <w:p w14:paraId="7E6C36D4" w14:textId="5491452F" w:rsidR="002D51D1" w:rsidRDefault="002D51D1" w:rsidP="002D51D1">
      <w:pPr>
        <w:pStyle w:val="BodyText2"/>
        <w:rPr>
          <w:b/>
          <w:bCs/>
          <w:u w:val="single"/>
        </w:rPr>
      </w:pPr>
      <w:r>
        <w:rPr>
          <w:rFonts w:ascii="Calibri Light" w:eastAsiaTheme="majorEastAsia" w:hAnsi="Calibri Light" w:cstheme="majorBidi"/>
          <w:b/>
          <w:color w:val="00B0F0"/>
          <w:sz w:val="28"/>
          <w:szCs w:val="32"/>
        </w:rPr>
        <w:t>Compressed gas cylinders</w:t>
      </w:r>
    </w:p>
    <w:p w14:paraId="17C69900" w14:textId="77777777" w:rsidR="002D51D1" w:rsidRDefault="002D51D1" w:rsidP="002D51D1">
      <w:pPr>
        <w:pStyle w:val="BodyText2"/>
        <w:jc w:val="center"/>
        <w:rPr>
          <w:b/>
          <w:bCs/>
          <w:u w:val="single"/>
        </w:rPr>
      </w:pPr>
    </w:p>
    <w:p w14:paraId="38E85E81" w14:textId="03F9A5BE"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 xml:space="preserve">Gas cylinders must be kept in racks or </w:t>
      </w:r>
      <w:r w:rsidR="002E7545" w:rsidRPr="002D51D1">
        <w:rPr>
          <w:rFonts w:ascii="Calibri" w:hAnsi="Calibri" w:cs="Calibri"/>
          <w:sz w:val="22"/>
          <w:szCs w:val="22"/>
        </w:rPr>
        <w:t>stands or</w:t>
      </w:r>
      <w:r w:rsidRPr="002D51D1">
        <w:rPr>
          <w:rFonts w:ascii="Calibri" w:hAnsi="Calibri" w:cs="Calibri"/>
          <w:sz w:val="22"/>
          <w:szCs w:val="22"/>
        </w:rPr>
        <w:t xml:space="preserve"> set in an upright position and properly secured to prevent their being knocked over. They should be transported &amp; stored in an upright position with regulators removed and cylinder caps in place.</w:t>
      </w:r>
    </w:p>
    <w:p w14:paraId="457E5BF8" w14:textId="77777777" w:rsidR="002D51D1" w:rsidRPr="002D51D1" w:rsidRDefault="002D51D1" w:rsidP="002D51D1">
      <w:pPr>
        <w:pStyle w:val="BodyText2"/>
        <w:ind w:left="720"/>
        <w:jc w:val="both"/>
        <w:rPr>
          <w:rFonts w:ascii="Calibri" w:hAnsi="Calibri" w:cs="Calibri"/>
          <w:sz w:val="22"/>
          <w:szCs w:val="22"/>
        </w:rPr>
      </w:pPr>
    </w:p>
    <w:p w14:paraId="1B9B2285"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29881199" w14:textId="77777777" w:rsidR="002D51D1" w:rsidRPr="002D51D1" w:rsidRDefault="002D51D1" w:rsidP="002D51D1">
      <w:pPr>
        <w:pStyle w:val="BodyText2"/>
        <w:ind w:left="720"/>
        <w:jc w:val="both"/>
        <w:rPr>
          <w:rFonts w:ascii="Calibri" w:hAnsi="Calibri" w:cs="Calibri"/>
          <w:sz w:val="22"/>
          <w:szCs w:val="22"/>
        </w:rPr>
      </w:pPr>
    </w:p>
    <w:p w14:paraId="6417E6C8"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03FD7C73" w14:textId="77777777" w:rsidR="002D51D1" w:rsidRPr="002D51D1" w:rsidRDefault="002D51D1" w:rsidP="002D51D1">
      <w:pPr>
        <w:pStyle w:val="BodyText2"/>
        <w:ind w:left="720"/>
        <w:jc w:val="both"/>
        <w:rPr>
          <w:rFonts w:ascii="Calibri" w:hAnsi="Calibri" w:cs="Calibri"/>
          <w:sz w:val="22"/>
          <w:szCs w:val="22"/>
        </w:rPr>
      </w:pPr>
    </w:p>
    <w:p w14:paraId="2E9BE992"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14:paraId="2E5C5CCF" w14:textId="77777777" w:rsidR="002D51D1" w:rsidRPr="002D51D1" w:rsidRDefault="002D51D1" w:rsidP="002D51D1">
      <w:pPr>
        <w:pStyle w:val="BodyText2"/>
        <w:ind w:left="720"/>
        <w:jc w:val="both"/>
        <w:rPr>
          <w:rFonts w:ascii="Calibri" w:hAnsi="Calibri" w:cs="Calibri"/>
          <w:sz w:val="22"/>
          <w:szCs w:val="22"/>
        </w:rPr>
      </w:pPr>
    </w:p>
    <w:p w14:paraId="5C8836B7" w14:textId="77777777" w:rsidR="002E7545" w:rsidRDefault="002D51D1" w:rsidP="002E7545">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bookmarkStart w:id="7" w:name="_Hlk51156954"/>
    </w:p>
    <w:p w14:paraId="030D0CE8" w14:textId="77777777" w:rsidR="00101EEC" w:rsidRDefault="00101EEC" w:rsidP="002E7545">
      <w:pPr>
        <w:pStyle w:val="BodyText2"/>
        <w:jc w:val="both"/>
        <w:rPr>
          <w:rFonts w:ascii="Calibri Light" w:hAnsi="Calibri Light"/>
          <w:b/>
          <w:color w:val="00B0F0"/>
          <w:sz w:val="36"/>
          <w:szCs w:val="32"/>
        </w:rPr>
      </w:pPr>
    </w:p>
    <w:p w14:paraId="019711E1" w14:textId="77777777" w:rsidR="00101EEC" w:rsidRDefault="00101EEC" w:rsidP="002E7545">
      <w:pPr>
        <w:pStyle w:val="BodyText2"/>
        <w:jc w:val="both"/>
        <w:rPr>
          <w:rFonts w:ascii="Calibri Light" w:hAnsi="Calibri Light"/>
          <w:b/>
          <w:color w:val="00B0F0"/>
          <w:sz w:val="36"/>
          <w:szCs w:val="32"/>
        </w:rPr>
      </w:pPr>
    </w:p>
    <w:p w14:paraId="36814177" w14:textId="26B4CFDD" w:rsidR="00FB4019" w:rsidRPr="002E7545" w:rsidRDefault="00FB4019" w:rsidP="002E7545">
      <w:pPr>
        <w:pStyle w:val="BodyText2"/>
        <w:jc w:val="both"/>
        <w:rPr>
          <w:rFonts w:ascii="Calibri" w:hAnsi="Calibri" w:cs="Calibri"/>
          <w:sz w:val="22"/>
          <w:szCs w:val="22"/>
        </w:rPr>
      </w:pPr>
      <w:r w:rsidRPr="00FB4019">
        <w:rPr>
          <w:rFonts w:ascii="Calibri Light" w:hAnsi="Calibri Light"/>
          <w:b/>
          <w:color w:val="00B0F0"/>
          <w:sz w:val="36"/>
          <w:szCs w:val="32"/>
        </w:rPr>
        <w:lastRenderedPageBreak/>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7"/>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4"/>
      <w:footerReference w:type="even" r:id="rId15"/>
      <w:footerReference w:type="default" r:id="rId16"/>
      <w:headerReference w:type="first" r:id="rId17"/>
      <w:footerReference w:type="first" r:id="rId18"/>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7EC3" w14:textId="77777777" w:rsidR="008E4DC4" w:rsidRDefault="008E4DC4">
      <w:r>
        <w:separator/>
      </w:r>
    </w:p>
  </w:endnote>
  <w:endnote w:type="continuationSeparator" w:id="0">
    <w:p w14:paraId="7440EBF0" w14:textId="77777777" w:rsidR="008E4DC4" w:rsidRDefault="008E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8"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8"/>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4F2C" w14:textId="77777777" w:rsidR="008E4DC4" w:rsidRDefault="008E4DC4">
      <w:r>
        <w:separator/>
      </w:r>
    </w:p>
  </w:footnote>
  <w:footnote w:type="continuationSeparator" w:id="0">
    <w:p w14:paraId="330CA263" w14:textId="77777777" w:rsidR="008E4DC4" w:rsidRDefault="008E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33FA2938"/>
    <w:multiLevelType w:val="hybridMultilevel"/>
    <w:tmpl w:val="878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1"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5"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3"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49458">
    <w:abstractNumId w:val="23"/>
  </w:num>
  <w:num w:numId="2" w16cid:durableId="1268392980">
    <w:abstractNumId w:val="14"/>
  </w:num>
  <w:num w:numId="3" w16cid:durableId="1630933570">
    <w:abstractNumId w:val="6"/>
  </w:num>
  <w:num w:numId="4" w16cid:durableId="909197949">
    <w:abstractNumId w:val="22"/>
  </w:num>
  <w:num w:numId="5" w16cid:durableId="2125802836">
    <w:abstractNumId w:val="10"/>
  </w:num>
  <w:num w:numId="6" w16cid:durableId="820118300">
    <w:abstractNumId w:val="4"/>
  </w:num>
  <w:num w:numId="7" w16cid:durableId="1577861932">
    <w:abstractNumId w:val="24"/>
  </w:num>
  <w:num w:numId="8" w16cid:durableId="1291090708">
    <w:abstractNumId w:val="15"/>
  </w:num>
  <w:num w:numId="9" w16cid:durableId="2037542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9249222">
    <w:abstractNumId w:val="21"/>
  </w:num>
  <w:num w:numId="11" w16cid:durableId="1551383519">
    <w:abstractNumId w:val="13"/>
  </w:num>
  <w:num w:numId="12" w16cid:durableId="1327786515">
    <w:abstractNumId w:val="25"/>
  </w:num>
  <w:num w:numId="13" w16cid:durableId="460347258">
    <w:abstractNumId w:val="11"/>
  </w:num>
  <w:num w:numId="14" w16cid:durableId="1478765811">
    <w:abstractNumId w:val="3"/>
  </w:num>
  <w:num w:numId="15" w16cid:durableId="1135756311">
    <w:abstractNumId w:val="18"/>
  </w:num>
  <w:num w:numId="16" w16cid:durableId="887300964">
    <w:abstractNumId w:val="8"/>
  </w:num>
  <w:num w:numId="17" w16cid:durableId="2038390703">
    <w:abstractNumId w:val="26"/>
  </w:num>
  <w:num w:numId="18" w16cid:durableId="548419588">
    <w:abstractNumId w:val="17"/>
  </w:num>
  <w:num w:numId="19" w16cid:durableId="626351630">
    <w:abstractNumId w:val="16"/>
  </w:num>
  <w:num w:numId="20" w16cid:durableId="500006869">
    <w:abstractNumId w:val="5"/>
  </w:num>
  <w:num w:numId="21" w16cid:durableId="1025331730">
    <w:abstractNumId w:val="12"/>
  </w:num>
  <w:num w:numId="22" w16cid:durableId="732123455">
    <w:abstractNumId w:val="1"/>
  </w:num>
  <w:num w:numId="23" w16cid:durableId="820583625">
    <w:abstractNumId w:val="2"/>
  </w:num>
  <w:num w:numId="24" w16cid:durableId="1375809901">
    <w:abstractNumId w:val="27"/>
  </w:num>
  <w:num w:numId="25" w16cid:durableId="806506729">
    <w:abstractNumId w:val="20"/>
  </w:num>
  <w:num w:numId="26" w16cid:durableId="1815564398">
    <w:abstractNumId w:val="19"/>
  </w:num>
  <w:num w:numId="27" w16cid:durableId="315695804">
    <w:abstractNumId w:val="9"/>
  </w:num>
  <w:num w:numId="28" w16cid:durableId="2088334259">
    <w:abstractNumId w:val="0"/>
  </w:num>
  <w:num w:numId="29" w16cid:durableId="180508239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01EEC"/>
    <w:rsid w:val="001327DF"/>
    <w:rsid w:val="001779FE"/>
    <w:rsid w:val="002C5100"/>
    <w:rsid w:val="002C786B"/>
    <w:rsid w:val="002D51D1"/>
    <w:rsid w:val="002E7545"/>
    <w:rsid w:val="003020C1"/>
    <w:rsid w:val="003625E2"/>
    <w:rsid w:val="003A4F9B"/>
    <w:rsid w:val="00401DB7"/>
    <w:rsid w:val="004E26BA"/>
    <w:rsid w:val="00520E70"/>
    <w:rsid w:val="005B4C2C"/>
    <w:rsid w:val="005F63C1"/>
    <w:rsid w:val="00607737"/>
    <w:rsid w:val="00680323"/>
    <w:rsid w:val="006F5B29"/>
    <w:rsid w:val="007210AB"/>
    <w:rsid w:val="00794533"/>
    <w:rsid w:val="0088500E"/>
    <w:rsid w:val="008E4DC4"/>
    <w:rsid w:val="009A685A"/>
    <w:rsid w:val="009C3A0E"/>
    <w:rsid w:val="00A3596B"/>
    <w:rsid w:val="00A53ADD"/>
    <w:rsid w:val="00AD0ABF"/>
    <w:rsid w:val="00BB1356"/>
    <w:rsid w:val="00C217BC"/>
    <w:rsid w:val="00CB7EF0"/>
    <w:rsid w:val="00D073C0"/>
    <w:rsid w:val="00D227E1"/>
    <w:rsid w:val="00DF0D3C"/>
    <w:rsid w:val="00E35EBA"/>
    <w:rsid w:val="00E405A7"/>
    <w:rsid w:val="00E45D7B"/>
    <w:rsid w:val="00E74178"/>
    <w:rsid w:val="00E8158C"/>
    <w:rsid w:val="00E952E5"/>
    <w:rsid w:val="00EE774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 w:type="paragraph" w:styleId="NormalWeb">
    <w:name w:val="Normal (Web)"/>
    <w:basedOn w:val="Normal"/>
    <w:semiHidden/>
    <w:rsid w:val="00E405A7"/>
    <w:pPr>
      <w:spacing w:before="100" w:beforeAutospacing="1" w:after="100" w:afterAutospacing="1"/>
    </w:pPr>
    <w:rPr>
      <w:szCs w:val="24"/>
    </w:rPr>
  </w:style>
  <w:style w:type="character" w:customStyle="1" w:styleId="blueten1">
    <w:name w:val="blueten1"/>
    <w:basedOn w:val="DefaultParagraphFont"/>
    <w:rsid w:val="002D51D1"/>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yperlink" Target="http://www.CompSourceMutua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SourceMutu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SourceMutu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Tucker Pawley</cp:lastModifiedBy>
  <cp:revision>4</cp:revision>
  <cp:lastPrinted>2007-10-08T20:00:00Z</cp:lastPrinted>
  <dcterms:created xsi:type="dcterms:W3CDTF">2022-10-27T15:59:00Z</dcterms:created>
  <dcterms:modified xsi:type="dcterms:W3CDTF">2022-10-27T16:01:00Z</dcterms:modified>
</cp:coreProperties>
</file>