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204"/>
        <w:gridCol w:w="4167"/>
        <w:gridCol w:w="3259"/>
      </w:tblGrid>
      <w:tr w:rsidR="00384E6E"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384E6E" w14:paraId="275BB8A4" w14:textId="541E870A" w:rsidTr="00D25D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FD6A389" w14:textId="00B6B4D1" w:rsidR="008F2125" w:rsidRPr="00BE7657" w:rsidRDefault="008F2125" w:rsidP="008F2125">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120D6100" w:rsidR="008F2125" w:rsidRPr="009C736C" w:rsidRDefault="00EF6DFA"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Lockout- tagout</w:t>
            </w:r>
          </w:p>
        </w:tc>
        <w:tc>
          <w:tcPr>
            <w:tcW w:w="2204" w:type="dxa"/>
            <w:shd w:val="clear" w:color="auto" w:fill="F2F2F2" w:themeFill="background1" w:themeFillShade="F2"/>
            <w:vAlign w:val="center"/>
          </w:tcPr>
          <w:p w14:paraId="1BDDFD7D" w14:textId="2DCF628E" w:rsidR="008F2125" w:rsidRPr="009C736C"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356B7D">
              <w:rPr>
                <w:rFonts w:ascii="Calibri" w:hAnsi="Calibri" w:cs="Calibri"/>
                <w:color w:val="2F5496" w:themeColor="accent1" w:themeShade="BF"/>
                <w:sz w:val="24"/>
                <w:szCs w:val="24"/>
              </w:rPr>
              <w:t>29 CFR 1910</w:t>
            </w:r>
            <w:r w:rsidR="00EF6DFA">
              <w:rPr>
                <w:rFonts w:ascii="Calibri" w:hAnsi="Calibri" w:cs="Calibri"/>
                <w:color w:val="2F5496" w:themeColor="accent1" w:themeShade="BF"/>
                <w:sz w:val="24"/>
                <w:szCs w:val="24"/>
              </w:rPr>
              <w:t>.147</w:t>
            </w:r>
          </w:p>
        </w:tc>
        <w:tc>
          <w:tcPr>
            <w:tcW w:w="4167" w:type="dxa"/>
            <w:shd w:val="clear" w:color="auto" w:fill="F2F2F2" w:themeFill="background1" w:themeFillShade="F2"/>
            <w:vAlign w:val="center"/>
          </w:tcPr>
          <w:p w14:paraId="2807BA69" w14:textId="77777777" w:rsidR="008F2125" w:rsidRDefault="00EF6DFA"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Training on expected procedures </w:t>
            </w:r>
          </w:p>
          <w:p w14:paraId="63A93C33" w14:textId="77777777" w:rsidR="00EF6DFA" w:rsidRDefault="00EF6DFA"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Identify what should be locked and tagged and when </w:t>
            </w:r>
          </w:p>
          <w:p w14:paraId="2E52538B" w14:textId="7024627F" w:rsidR="00EF6DFA" w:rsidRPr="00E21E2B" w:rsidRDefault="00EF6DFA"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Process of using locks and tags </w:t>
            </w:r>
          </w:p>
        </w:tc>
        <w:tc>
          <w:tcPr>
            <w:tcW w:w="3259" w:type="dxa"/>
            <w:shd w:val="clear" w:color="auto" w:fill="F2F2F2" w:themeFill="background1" w:themeFillShade="F2"/>
            <w:vAlign w:val="center"/>
          </w:tcPr>
          <w:p w14:paraId="1A3323C3" w14:textId="77777777" w:rsidR="008F2125" w:rsidRDefault="00DF6D94"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Pr="00DF6D94">
                <w:rPr>
                  <w:rStyle w:val="Hyperlink"/>
                  <w:sz w:val="20"/>
                  <w:szCs w:val="20"/>
                </w:rPr>
                <w:t>Lockout/Tagout</w:t>
              </w:r>
            </w:hyperlink>
          </w:p>
          <w:p w14:paraId="30A55BC3" w14:textId="77777777" w:rsidR="00DF6D94" w:rsidRDefault="00960332"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sidRPr="00960332">
                <w:rPr>
                  <w:rStyle w:val="Hyperlink"/>
                  <w:sz w:val="20"/>
                  <w:szCs w:val="20"/>
                </w:rPr>
                <w:t xml:space="preserve">Lockout/Tagout </w:t>
              </w:r>
              <w:r>
                <w:rPr>
                  <w:rStyle w:val="Hyperlink"/>
                  <w:sz w:val="20"/>
                  <w:szCs w:val="20"/>
                </w:rPr>
                <w:t>(</w:t>
              </w:r>
              <w:r w:rsidRPr="00960332">
                <w:rPr>
                  <w:rStyle w:val="Hyperlink"/>
                  <w:sz w:val="20"/>
                  <w:szCs w:val="20"/>
                </w:rPr>
                <w:t>Spanish)</w:t>
              </w:r>
            </w:hyperlink>
          </w:p>
          <w:p w14:paraId="322F6CCA" w14:textId="20A5E478" w:rsidR="00C0709F" w:rsidRPr="00150A9F" w:rsidRDefault="00C0709F"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Pr="00C0709F">
                <w:rPr>
                  <w:rStyle w:val="Hyperlink"/>
                  <w:sz w:val="20"/>
                  <w:szCs w:val="20"/>
                </w:rPr>
                <w:t>Lockout tagout</w:t>
              </w:r>
            </w:hyperlink>
          </w:p>
        </w:tc>
      </w:tr>
      <w:tr w:rsidR="008F2125" w14:paraId="73AFE4DE" w14:textId="416A8079" w:rsidTr="00D25DD3">
        <w:trPr>
          <w:trHeight w:val="23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59962A9" w14:textId="583AF761" w:rsidR="008F2125" w:rsidRPr="00B5776C" w:rsidRDefault="008F2125" w:rsidP="008F2125">
            <w:pPr>
              <w:tabs>
                <w:tab w:val="left" w:pos="3953"/>
              </w:tabs>
              <w:jc w:val="center"/>
              <w:rPr>
                <w:b w:val="0"/>
                <w:bCs w:val="0"/>
                <w:i/>
                <w:iCs/>
                <w:sz w:val="40"/>
                <w:szCs w:val="40"/>
              </w:rPr>
            </w:pPr>
            <w:r w:rsidRPr="00B5776C">
              <w:rPr>
                <w:b w:val="0"/>
                <w:bCs w:val="0"/>
                <w:i/>
                <w:iCs/>
                <w:sz w:val="40"/>
                <w:szCs w:val="40"/>
              </w:rPr>
              <w:t>February</w:t>
            </w:r>
          </w:p>
        </w:tc>
        <w:tc>
          <w:tcPr>
            <w:tcW w:w="2286" w:type="dxa"/>
            <w:shd w:val="clear" w:color="auto" w:fill="D9D9D9" w:themeFill="background1" w:themeFillShade="D9"/>
            <w:vAlign w:val="center"/>
          </w:tcPr>
          <w:p w14:paraId="186ADD1E" w14:textId="4A3BC7A2" w:rsidR="008F2125" w:rsidRPr="009C736C"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204" w:type="dxa"/>
            <w:shd w:val="clear" w:color="auto" w:fill="D9D9D9" w:themeFill="background1" w:themeFillShade="D9"/>
            <w:vAlign w:val="center"/>
          </w:tcPr>
          <w:p w14:paraId="56B174C8" w14:textId="5D21A3C6"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5EB279DA" w14:textId="77777777" w:rsidR="008F2125" w:rsidRDefault="008F2125"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7FF991B5" w14:textId="77777777" w:rsidR="008F2125" w:rsidRDefault="008F2125"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0D9EEED" w14:textId="2457D414" w:rsidR="008F2125" w:rsidRDefault="008F2125"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259" w:type="dxa"/>
            <w:shd w:val="clear" w:color="auto" w:fill="D9D9D9" w:themeFill="background1" w:themeFillShade="D9"/>
            <w:vAlign w:val="center"/>
          </w:tcPr>
          <w:p w14:paraId="6F450F52" w14:textId="750AA8DE" w:rsidR="00927C7A" w:rsidRPr="00927C7A" w:rsidRDefault="00E72C38"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00927C7A">
                <w:rPr>
                  <w:rStyle w:val="Hyperlink"/>
                  <w:sz w:val="20"/>
                  <w:szCs w:val="20"/>
                </w:rPr>
                <w:t>Tips for safe lifting safety talk</w:t>
              </w:r>
            </w:hyperlink>
            <w:r w:rsidR="00927C7A">
              <w:rPr>
                <w:color w:val="2F5496" w:themeColor="accent1" w:themeShade="BF"/>
                <w:sz w:val="20"/>
                <w:szCs w:val="20"/>
              </w:rPr>
              <w:t xml:space="preserve"> </w:t>
            </w:r>
          </w:p>
          <w:p w14:paraId="2DCF6671" w14:textId="7985BD52" w:rsidR="00FF6BE9" w:rsidRPr="009026EB" w:rsidRDefault="00E72C38"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sidR="00FF6BE9">
                <w:rPr>
                  <w:rStyle w:val="Hyperlink"/>
                  <w:sz w:val="20"/>
                  <w:szCs w:val="20"/>
                </w:rPr>
                <w:t>Overhead crane and hoist safety talk</w:t>
              </w:r>
            </w:hyperlink>
            <w:r w:rsidR="00FF6BE9">
              <w:rPr>
                <w:color w:val="2F5496" w:themeColor="accent1" w:themeShade="BF"/>
                <w:sz w:val="20"/>
                <w:szCs w:val="20"/>
              </w:rPr>
              <w:t xml:space="preserve"> </w:t>
            </w:r>
          </w:p>
        </w:tc>
      </w:tr>
      <w:tr w:rsidR="00384E6E" w14:paraId="2C0C43C2" w14:textId="0899D7A5" w:rsidTr="00D25DD3">
        <w:trPr>
          <w:cnfStyle w:val="000000100000" w:firstRow="0" w:lastRow="0" w:firstColumn="0" w:lastColumn="0" w:oddVBand="0" w:evenVBand="0" w:oddHBand="1" w:evenHBand="0" w:firstRowFirstColumn="0" w:firstRowLastColumn="0" w:lastRowFirstColumn="0" w:lastRowLastColumn="0"/>
          <w:trHeight w:val="287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C3427C" w14:textId="7D618FC2" w:rsidR="008F2125" w:rsidRPr="00BE7657" w:rsidRDefault="008F2125" w:rsidP="008F2125">
            <w:pPr>
              <w:tabs>
                <w:tab w:val="left" w:pos="3953"/>
              </w:tabs>
              <w:jc w:val="center"/>
              <w:rPr>
                <w:b w:val="0"/>
                <w:bCs w:val="0"/>
                <w:i/>
                <w:iCs/>
                <w:sz w:val="40"/>
                <w:szCs w:val="40"/>
              </w:rPr>
            </w:pPr>
            <w:r w:rsidRPr="00BE7657">
              <w:rPr>
                <w:b w:val="0"/>
                <w:bCs w:val="0"/>
                <w:i/>
                <w:iCs/>
                <w:sz w:val="40"/>
                <w:szCs w:val="40"/>
              </w:rPr>
              <w:t>March</w:t>
            </w:r>
          </w:p>
        </w:tc>
        <w:tc>
          <w:tcPr>
            <w:tcW w:w="2286" w:type="dxa"/>
            <w:shd w:val="clear" w:color="auto" w:fill="F2F2F2" w:themeFill="background1" w:themeFillShade="F2"/>
            <w:vAlign w:val="center"/>
          </w:tcPr>
          <w:p w14:paraId="0FDA81EA" w14:textId="2F52B2DE" w:rsidR="008F2125" w:rsidRPr="00A55E25"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204" w:type="dxa"/>
            <w:shd w:val="clear" w:color="auto" w:fill="F2F2F2" w:themeFill="background1" w:themeFillShade="F2"/>
            <w:vAlign w:val="center"/>
          </w:tcPr>
          <w:p w14:paraId="4CB6B2F1" w14:textId="52F79FC2" w:rsidR="008F2125" w:rsidRPr="00A55E25"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1910.151</w:t>
            </w:r>
          </w:p>
        </w:tc>
        <w:tc>
          <w:tcPr>
            <w:tcW w:w="4167" w:type="dxa"/>
            <w:shd w:val="clear" w:color="auto" w:fill="F2F2F2" w:themeFill="background1" w:themeFillShade="F2"/>
            <w:vAlign w:val="center"/>
          </w:tcPr>
          <w:p w14:paraId="4AAE6B21"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2050A7FC"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51492911"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7EB945B1" w14:textId="77777777" w:rsidR="008F2125" w:rsidRDefault="008F2125"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17FBA597" w14:textId="24B3934F" w:rsidR="008F2125" w:rsidRPr="00A55E25" w:rsidRDefault="008F2125" w:rsidP="008F21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259" w:type="dxa"/>
            <w:shd w:val="clear" w:color="auto" w:fill="F2F2F2" w:themeFill="background1" w:themeFillShade="F2"/>
            <w:vAlign w:val="center"/>
          </w:tcPr>
          <w:p w14:paraId="10F27936" w14:textId="3C0A6F31" w:rsidR="008F2125" w:rsidRPr="00150A9F" w:rsidRDefault="00E72C38" w:rsidP="008F212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sidR="008F2125" w:rsidRPr="00150A9F">
                <w:rPr>
                  <w:rStyle w:val="Hyperlink"/>
                  <w:sz w:val="20"/>
                  <w:szCs w:val="20"/>
                </w:rPr>
                <w:t>What to do in case of an incident safety talk</w:t>
              </w:r>
            </w:hyperlink>
            <w:r w:rsidR="008F2125" w:rsidRPr="00150A9F">
              <w:rPr>
                <w:color w:val="2F5496" w:themeColor="accent1" w:themeShade="BF"/>
                <w:sz w:val="20"/>
                <w:szCs w:val="20"/>
              </w:rPr>
              <w:t xml:space="preserve"> </w:t>
            </w:r>
          </w:p>
        </w:tc>
      </w:tr>
      <w:tr w:rsidR="00384E6E" w14:paraId="66B51946" w14:textId="77777777" w:rsidTr="00D25DD3">
        <w:trPr>
          <w:trHeight w:val="269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AFCC2E3" w14:textId="77777777" w:rsidR="008F2125" w:rsidRPr="00BE7657" w:rsidRDefault="008F2125" w:rsidP="008F2125">
            <w:pPr>
              <w:tabs>
                <w:tab w:val="left" w:pos="3953"/>
              </w:tabs>
              <w:jc w:val="center"/>
              <w:rPr>
                <w:i/>
                <w:iCs/>
                <w:sz w:val="40"/>
                <w:szCs w:val="40"/>
              </w:rPr>
            </w:pPr>
          </w:p>
        </w:tc>
        <w:tc>
          <w:tcPr>
            <w:tcW w:w="2286" w:type="dxa"/>
            <w:shd w:val="clear" w:color="auto" w:fill="F2F2F2" w:themeFill="background1" w:themeFillShade="F2"/>
            <w:vAlign w:val="center"/>
          </w:tcPr>
          <w:p w14:paraId="7DCD60FE" w14:textId="1280F795"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204" w:type="dxa"/>
            <w:shd w:val="clear" w:color="auto" w:fill="F2F2F2" w:themeFill="background1" w:themeFillShade="F2"/>
            <w:vAlign w:val="center"/>
          </w:tcPr>
          <w:p w14:paraId="4B0EEB15" w14:textId="78A6D45C"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332DD2D5" w14:textId="77777777" w:rsidR="008F2125" w:rsidRDefault="008F2125"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65D5362" w14:textId="7FFE0BEB" w:rsidR="008F2125" w:rsidRDefault="008F2125"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34710BF8" w14:textId="77777777" w:rsidR="008F2125" w:rsidRDefault="00E72C38"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sidR="008F2125" w:rsidRPr="009026EB">
                <w:rPr>
                  <w:rStyle w:val="Hyperlink"/>
                  <w:sz w:val="20"/>
                  <w:szCs w:val="20"/>
                </w:rPr>
                <w:t>Emergency planning</w:t>
              </w:r>
            </w:hyperlink>
            <w:r w:rsidR="008F2125" w:rsidRPr="009026EB">
              <w:rPr>
                <w:color w:val="2F5496" w:themeColor="accent1" w:themeShade="BF"/>
                <w:sz w:val="20"/>
                <w:szCs w:val="20"/>
              </w:rPr>
              <w:t xml:space="preserve"> </w:t>
            </w:r>
          </w:p>
          <w:p w14:paraId="15548669" w14:textId="511544BB" w:rsidR="00BD5DC9" w:rsidRPr="009026EB" w:rsidRDefault="00BD5DC9"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sidRPr="00BD5DC9">
                <w:rPr>
                  <w:rStyle w:val="Hyperlink"/>
                  <w:sz w:val="20"/>
                  <w:szCs w:val="20"/>
                </w:rPr>
                <w:t xml:space="preserve">Portable fire extinguishers safety talk </w:t>
              </w:r>
            </w:hyperlink>
          </w:p>
        </w:tc>
      </w:tr>
      <w:tr w:rsidR="00384E6E" w14:paraId="6C0513A9" w14:textId="4120BCCC" w:rsidTr="00D25DD3">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51078CBF" w:rsidR="008F2125" w:rsidRPr="00BE7657" w:rsidRDefault="008F2125" w:rsidP="008F2125">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00ADFF6D" w:rsidR="008F2125" w:rsidRPr="009C736C"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Fall protection</w:t>
            </w:r>
          </w:p>
        </w:tc>
        <w:tc>
          <w:tcPr>
            <w:tcW w:w="2204" w:type="dxa"/>
            <w:shd w:val="clear" w:color="auto" w:fill="D9D9D9" w:themeFill="background1" w:themeFillShade="D9"/>
            <w:vAlign w:val="center"/>
          </w:tcPr>
          <w:p w14:paraId="24616A01" w14:textId="1C157113" w:rsidR="008F2125" w:rsidRPr="009C736C"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sidRPr="002A1AE1">
              <w:rPr>
                <w:color w:val="2F5496" w:themeColor="accent1" w:themeShade="BF"/>
                <w:sz w:val="24"/>
                <w:szCs w:val="24"/>
              </w:rPr>
              <w:t>29 CFR 1926.503</w:t>
            </w:r>
          </w:p>
        </w:tc>
        <w:tc>
          <w:tcPr>
            <w:tcW w:w="4167" w:type="dxa"/>
            <w:shd w:val="clear" w:color="auto" w:fill="D9D9D9" w:themeFill="background1" w:themeFillShade="D9"/>
            <w:vAlign w:val="center"/>
          </w:tcPr>
          <w:p w14:paraId="01793619" w14:textId="1F553CAE" w:rsidR="008F2125" w:rsidRDefault="008F2125"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Equipment needed for different types of work</w:t>
            </w:r>
          </w:p>
          <w:p w14:paraId="62AEF0A1" w14:textId="2E2CA315" w:rsidR="008F2125" w:rsidRDefault="008F2125"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equipment</w:t>
            </w:r>
          </w:p>
          <w:p w14:paraId="3784706F" w14:textId="77777777" w:rsidR="008F2125" w:rsidRDefault="008F2125"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Inspecting equipment</w:t>
            </w:r>
          </w:p>
          <w:p w14:paraId="482C7158" w14:textId="3CF27CBC" w:rsidR="008F2125" w:rsidRPr="004E4689" w:rsidRDefault="008F2125"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Maintenance and repair of defective or damaged equipment </w:t>
            </w:r>
          </w:p>
        </w:tc>
        <w:tc>
          <w:tcPr>
            <w:tcW w:w="3259" w:type="dxa"/>
            <w:shd w:val="clear" w:color="auto" w:fill="D9D9D9" w:themeFill="background1" w:themeFillShade="D9"/>
            <w:vAlign w:val="center"/>
          </w:tcPr>
          <w:p w14:paraId="227CCAAF" w14:textId="77777777" w:rsidR="008F2125" w:rsidRDefault="00E72C38"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sidR="008F2125" w:rsidRPr="00DB64C6">
                <w:rPr>
                  <w:rStyle w:val="Hyperlink"/>
                  <w:sz w:val="20"/>
                  <w:szCs w:val="20"/>
                </w:rPr>
                <w:t>Fall protection safety talk</w:t>
              </w:r>
            </w:hyperlink>
            <w:r w:rsidR="008F2125" w:rsidRPr="00DB64C6">
              <w:rPr>
                <w:color w:val="2F5496" w:themeColor="accent1" w:themeShade="BF"/>
                <w:sz w:val="20"/>
                <w:szCs w:val="20"/>
              </w:rPr>
              <w:t xml:space="preserve"> </w:t>
            </w:r>
          </w:p>
          <w:p w14:paraId="7384BDD4" w14:textId="77777777" w:rsidR="00BD5DC9" w:rsidRDefault="001D6C4E"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sidRPr="001D6C4E">
                <w:rPr>
                  <w:rStyle w:val="Hyperlink"/>
                  <w:sz w:val="20"/>
                  <w:szCs w:val="20"/>
                </w:rPr>
                <w:t>Fall Protection PPT</w:t>
              </w:r>
            </w:hyperlink>
          </w:p>
          <w:p w14:paraId="1FF7B015" w14:textId="53B4D21E" w:rsidR="001D6C4E" w:rsidRPr="00DB64C6" w:rsidRDefault="00596355"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8" w:history="1">
              <w:r w:rsidRPr="00596355">
                <w:rPr>
                  <w:rStyle w:val="Hyperlink"/>
                  <w:sz w:val="20"/>
                  <w:szCs w:val="20"/>
                </w:rPr>
                <w:t xml:space="preserve">Fall protection: Fixed ladders, catwalks &amp; stairs </w:t>
              </w:r>
            </w:hyperlink>
          </w:p>
        </w:tc>
      </w:tr>
      <w:tr w:rsidR="00384E6E" w14:paraId="49BD1C92" w14:textId="24B5C60F" w:rsidTr="000B1482">
        <w:trPr>
          <w:trHeight w:val="14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8F2125" w:rsidRPr="00BE7657" w:rsidRDefault="008F2125" w:rsidP="008F2125">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33A65173" w:rsidR="008F2125" w:rsidRPr="00C44428"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204" w:type="dxa"/>
            <w:shd w:val="clear" w:color="auto" w:fill="F2F2F2" w:themeFill="background1" w:themeFillShade="F2"/>
            <w:vAlign w:val="center"/>
          </w:tcPr>
          <w:p w14:paraId="62303D20" w14:textId="103D8361" w:rsidR="008F2125" w:rsidRPr="00C44428"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FA5E132" w14:textId="4D38A43E" w:rsidR="008F2125" w:rsidRPr="007947B2" w:rsidRDefault="008F2125" w:rsidP="008F21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Include hazards and controls related to working in extreme heat </w:t>
            </w:r>
            <w:r w:rsidR="00384E6E">
              <w:rPr>
                <w:color w:val="2F5496" w:themeColor="accent1" w:themeShade="BF"/>
                <w:sz w:val="24"/>
                <w:szCs w:val="24"/>
              </w:rPr>
              <w:t xml:space="preserve">and cold </w:t>
            </w:r>
            <w:r>
              <w:rPr>
                <w:color w:val="2F5496" w:themeColor="accent1" w:themeShade="BF"/>
                <w:sz w:val="24"/>
                <w:szCs w:val="24"/>
              </w:rPr>
              <w:t>conditions</w:t>
            </w:r>
          </w:p>
        </w:tc>
        <w:tc>
          <w:tcPr>
            <w:tcW w:w="3259" w:type="dxa"/>
            <w:shd w:val="clear" w:color="auto" w:fill="F2F2F2" w:themeFill="background1" w:themeFillShade="F2"/>
            <w:vAlign w:val="center"/>
          </w:tcPr>
          <w:p w14:paraId="5C338ADA" w14:textId="77777777" w:rsidR="008F2125" w:rsidRDefault="00E72C38" w:rsidP="008F21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sidR="008F2125" w:rsidRPr="006242B4">
                <w:rPr>
                  <w:rStyle w:val="Hyperlink"/>
                  <w:sz w:val="20"/>
                  <w:szCs w:val="20"/>
                </w:rPr>
                <w:t>Heat stress safety talk</w:t>
              </w:r>
            </w:hyperlink>
            <w:r w:rsidR="008F2125" w:rsidRPr="006242B4">
              <w:rPr>
                <w:color w:val="2F5496" w:themeColor="accent1" w:themeShade="BF"/>
                <w:sz w:val="20"/>
                <w:szCs w:val="20"/>
              </w:rPr>
              <w:t xml:space="preserve"> </w:t>
            </w:r>
          </w:p>
          <w:p w14:paraId="6C7BEB56" w14:textId="70647193" w:rsidR="00FC1416" w:rsidRPr="006242B4" w:rsidRDefault="00E72C38" w:rsidP="008F21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sidR="00FC1416">
                <w:rPr>
                  <w:rStyle w:val="Hyperlink"/>
                  <w:sz w:val="20"/>
                  <w:szCs w:val="20"/>
                </w:rPr>
                <w:t>Working in the cold safety talk</w:t>
              </w:r>
            </w:hyperlink>
            <w:r w:rsidR="00FC1416">
              <w:rPr>
                <w:color w:val="2F5496" w:themeColor="accent1" w:themeShade="BF"/>
                <w:sz w:val="20"/>
                <w:szCs w:val="20"/>
              </w:rPr>
              <w:t xml:space="preserve"> </w:t>
            </w:r>
          </w:p>
        </w:tc>
      </w:tr>
      <w:tr w:rsidR="00384E6E" w14:paraId="71685C42" w14:textId="690043CB" w:rsidTr="00D25DD3">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8F2125" w:rsidRPr="00BE7657" w:rsidRDefault="008F2125" w:rsidP="008F2125">
            <w:pPr>
              <w:tabs>
                <w:tab w:val="left" w:pos="3953"/>
              </w:tabs>
              <w:jc w:val="center"/>
              <w:rPr>
                <w:b w:val="0"/>
                <w:bCs w:val="0"/>
                <w:i/>
                <w:iCs/>
                <w:sz w:val="40"/>
                <w:szCs w:val="40"/>
              </w:rPr>
            </w:pPr>
            <w:r w:rsidRPr="00BE7657">
              <w:rPr>
                <w:b w:val="0"/>
                <w:bCs w:val="0"/>
                <w:i/>
                <w:iCs/>
                <w:sz w:val="40"/>
                <w:szCs w:val="40"/>
              </w:rPr>
              <w:t>June</w:t>
            </w:r>
          </w:p>
        </w:tc>
        <w:tc>
          <w:tcPr>
            <w:tcW w:w="2286" w:type="dxa"/>
            <w:shd w:val="clear" w:color="auto" w:fill="D9D9D9" w:themeFill="background1" w:themeFillShade="D9"/>
            <w:vAlign w:val="center"/>
          </w:tcPr>
          <w:p w14:paraId="06528E9F" w14:textId="610AB385" w:rsidR="008F2125" w:rsidRPr="004E4689" w:rsidRDefault="009164CA"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Cranes </w:t>
            </w:r>
            <w:r w:rsidR="002E7D51">
              <w:rPr>
                <w:color w:val="2F5496" w:themeColor="accent1" w:themeShade="BF"/>
                <w:sz w:val="24"/>
                <w:szCs w:val="24"/>
              </w:rPr>
              <w:t xml:space="preserve"> </w:t>
            </w:r>
          </w:p>
        </w:tc>
        <w:tc>
          <w:tcPr>
            <w:tcW w:w="2204" w:type="dxa"/>
            <w:shd w:val="clear" w:color="auto" w:fill="D9D9D9" w:themeFill="background1" w:themeFillShade="D9"/>
            <w:vAlign w:val="center"/>
          </w:tcPr>
          <w:p w14:paraId="28361140" w14:textId="67A0B60A" w:rsidR="008F2125" w:rsidRPr="004E4689" w:rsidRDefault="009164CA"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3D409386" w14:textId="7E1D5183" w:rsidR="008F2125" w:rsidRPr="00BD72AF" w:rsidRDefault="00E72C38"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72C38">
              <w:rPr>
                <w:color w:val="2F5496" w:themeColor="accent1" w:themeShade="BF"/>
                <w:sz w:val="24"/>
                <w:szCs w:val="24"/>
              </w:rPr>
              <w:t xml:space="preserve">Include hazards and controls related to working </w:t>
            </w:r>
            <w:r>
              <w:rPr>
                <w:color w:val="2F5496" w:themeColor="accent1" w:themeShade="BF"/>
                <w:sz w:val="24"/>
                <w:szCs w:val="24"/>
              </w:rPr>
              <w:t xml:space="preserve">with and around cranes. </w:t>
            </w:r>
          </w:p>
        </w:tc>
        <w:tc>
          <w:tcPr>
            <w:tcW w:w="3259" w:type="dxa"/>
            <w:shd w:val="clear" w:color="auto" w:fill="D9D9D9" w:themeFill="background1" w:themeFillShade="D9"/>
            <w:vAlign w:val="center"/>
          </w:tcPr>
          <w:p w14:paraId="7D68B7F0" w14:textId="77777777" w:rsidR="002E7D51" w:rsidRPr="009F0CF4" w:rsidRDefault="00915481" w:rsidP="009164CA">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sidRPr="009F0CF4">
                <w:rPr>
                  <w:rStyle w:val="Hyperlink"/>
                  <w:sz w:val="20"/>
                  <w:szCs w:val="20"/>
                </w:rPr>
                <w:t xml:space="preserve">Crane Safety: Construction Environment </w:t>
              </w:r>
            </w:hyperlink>
          </w:p>
          <w:p w14:paraId="1929F104" w14:textId="77777777" w:rsidR="00915481" w:rsidRPr="009F0CF4" w:rsidRDefault="004C6A07" w:rsidP="009164CA">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sidRPr="009F0CF4">
                <w:rPr>
                  <w:rStyle w:val="Hyperlink"/>
                  <w:sz w:val="20"/>
                  <w:szCs w:val="20"/>
                </w:rPr>
                <w:t xml:space="preserve">Crane Safety: Construction Environment </w:t>
              </w:r>
              <w:r w:rsidRPr="009F0CF4">
                <w:rPr>
                  <w:rStyle w:val="Hyperlink"/>
                  <w:sz w:val="20"/>
                  <w:szCs w:val="20"/>
                </w:rPr>
                <w:t>(</w:t>
              </w:r>
              <w:r w:rsidRPr="009F0CF4">
                <w:rPr>
                  <w:rStyle w:val="Hyperlink"/>
                  <w:sz w:val="20"/>
                  <w:szCs w:val="20"/>
                </w:rPr>
                <w:t>Spanish)</w:t>
              </w:r>
            </w:hyperlink>
          </w:p>
          <w:p w14:paraId="4A359ED5" w14:textId="08C73956" w:rsidR="009F0CF4" w:rsidRPr="009F0CF4" w:rsidRDefault="009F0CF4" w:rsidP="009F0CF4">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3" w:history="1">
              <w:r w:rsidRPr="009F0CF4">
                <w:rPr>
                  <w:rStyle w:val="Hyperlink"/>
                  <w:sz w:val="20"/>
                  <w:szCs w:val="20"/>
                </w:rPr>
                <w:t>Crane Signal Person: Safety Basics</w:t>
              </w:r>
            </w:hyperlink>
          </w:p>
        </w:tc>
      </w:tr>
      <w:tr w:rsidR="00EF6DFA" w14:paraId="531A52CA" w14:textId="2621E09D" w:rsidTr="00E735F2">
        <w:trPr>
          <w:trHeight w:val="262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EF6DFA" w:rsidRPr="00BE7657" w:rsidRDefault="00EF6DFA" w:rsidP="00EF6DFA">
            <w:pPr>
              <w:tabs>
                <w:tab w:val="left" w:pos="3953"/>
              </w:tabs>
              <w:jc w:val="center"/>
              <w:rPr>
                <w:b w:val="0"/>
                <w:bCs w:val="0"/>
                <w:i/>
                <w:iCs/>
                <w:sz w:val="40"/>
                <w:szCs w:val="40"/>
              </w:rPr>
            </w:pPr>
            <w:r w:rsidRPr="00BE7657">
              <w:rPr>
                <w:b w:val="0"/>
                <w:bCs w:val="0"/>
                <w:i/>
                <w:iCs/>
                <w:sz w:val="40"/>
                <w:szCs w:val="40"/>
              </w:rPr>
              <w:lastRenderedPageBreak/>
              <w:t>July</w:t>
            </w:r>
          </w:p>
        </w:tc>
        <w:tc>
          <w:tcPr>
            <w:tcW w:w="2286" w:type="dxa"/>
            <w:shd w:val="clear" w:color="auto" w:fill="D9D9D9" w:themeFill="background1" w:themeFillShade="D9"/>
            <w:vAlign w:val="center"/>
          </w:tcPr>
          <w:p w14:paraId="13DF1D76" w14:textId="192360D2" w:rsidR="00EF6DFA" w:rsidRPr="004E4689" w:rsidRDefault="00EF6DFA" w:rsidP="00EF6DFA">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Welding</w:t>
            </w:r>
          </w:p>
        </w:tc>
        <w:tc>
          <w:tcPr>
            <w:tcW w:w="2204" w:type="dxa"/>
            <w:shd w:val="clear" w:color="auto" w:fill="D9D9D9" w:themeFill="background1" w:themeFillShade="D9"/>
            <w:vAlign w:val="center"/>
          </w:tcPr>
          <w:p w14:paraId="717A0172" w14:textId="037D6D09" w:rsidR="00EF6DFA" w:rsidRPr="004E4689" w:rsidRDefault="00EF6DFA" w:rsidP="00EF6DFA">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17304">
              <w:rPr>
                <w:color w:val="2F5496" w:themeColor="accent1" w:themeShade="BF"/>
                <w:sz w:val="24"/>
                <w:szCs w:val="24"/>
              </w:rPr>
              <w:t>29 CFR 1910.252 to 1910.255</w:t>
            </w:r>
          </w:p>
        </w:tc>
        <w:tc>
          <w:tcPr>
            <w:tcW w:w="4167" w:type="dxa"/>
            <w:shd w:val="clear" w:color="auto" w:fill="D9D9D9" w:themeFill="background1" w:themeFillShade="D9"/>
            <w:vAlign w:val="center"/>
          </w:tcPr>
          <w:p w14:paraId="7DCC975B" w14:textId="77777777" w:rsidR="00EF6DFA" w:rsidRDefault="00EF6DFA" w:rsidP="00EF6DFA">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welding practices such as inspection, how to ventilate, flammables, etc.</w:t>
            </w:r>
          </w:p>
          <w:p w14:paraId="70965A7D" w14:textId="2CD77AE4" w:rsidR="00EF6DFA" w:rsidRPr="007947B2" w:rsidRDefault="00EF6DFA" w:rsidP="00EF6DFA">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tc>
        <w:tc>
          <w:tcPr>
            <w:tcW w:w="3259" w:type="dxa"/>
            <w:shd w:val="clear" w:color="auto" w:fill="D9D9D9" w:themeFill="background1" w:themeFillShade="D9"/>
            <w:vAlign w:val="center"/>
          </w:tcPr>
          <w:p w14:paraId="61E163F9" w14:textId="77777777" w:rsidR="00EF6DFA" w:rsidRDefault="00EF6DFA" w:rsidP="00EF6DFA">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sidRPr="00150A9F">
                <w:rPr>
                  <w:rStyle w:val="Hyperlink"/>
                  <w:sz w:val="20"/>
                  <w:szCs w:val="20"/>
                </w:rPr>
                <w:t>Tips for welding safety talk</w:t>
              </w:r>
            </w:hyperlink>
            <w:r w:rsidRPr="00150A9F">
              <w:rPr>
                <w:color w:val="2F5496" w:themeColor="accent1" w:themeShade="BF"/>
                <w:sz w:val="20"/>
                <w:szCs w:val="20"/>
              </w:rPr>
              <w:t xml:space="preserve"> </w:t>
            </w:r>
          </w:p>
          <w:p w14:paraId="7D15584A" w14:textId="77777777" w:rsidR="00907502" w:rsidRPr="00907502" w:rsidRDefault="00907502" w:rsidP="00EF6DFA">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sidRPr="00907502">
                <w:rPr>
                  <w:rStyle w:val="Hyperlink"/>
                  <w:sz w:val="20"/>
                  <w:szCs w:val="20"/>
                </w:rPr>
                <w:t>Welding Safety</w:t>
              </w:r>
            </w:hyperlink>
          </w:p>
          <w:p w14:paraId="47BC051C" w14:textId="77777777" w:rsidR="00907502" w:rsidRDefault="00B5168A" w:rsidP="00EF6DFA">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sidRPr="00B5168A">
                <w:rPr>
                  <w:rStyle w:val="Hyperlink"/>
                  <w:sz w:val="20"/>
                  <w:szCs w:val="20"/>
                </w:rPr>
                <w:t xml:space="preserve">Welding Safety: </w:t>
              </w:r>
              <w:r>
                <w:rPr>
                  <w:rStyle w:val="Hyperlink"/>
                  <w:sz w:val="20"/>
                  <w:szCs w:val="20"/>
                </w:rPr>
                <w:t>(</w:t>
              </w:r>
              <w:r w:rsidRPr="00B5168A">
                <w:rPr>
                  <w:rStyle w:val="Hyperlink"/>
                  <w:sz w:val="20"/>
                  <w:szCs w:val="20"/>
                </w:rPr>
                <w:t>Spanish)</w:t>
              </w:r>
            </w:hyperlink>
          </w:p>
          <w:p w14:paraId="7CB2BC3A" w14:textId="58AEDF5E" w:rsidR="00B5168A" w:rsidRPr="00322A0A" w:rsidRDefault="00B5168A" w:rsidP="00E72C38">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p>
        </w:tc>
      </w:tr>
      <w:tr w:rsidR="00384E6E" w14:paraId="5F05034E" w14:textId="77777777" w:rsidTr="00384E6E">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AA1814E" w14:textId="1879F50A" w:rsidR="008F2125" w:rsidRPr="00EF6DFA" w:rsidRDefault="00EF6DFA" w:rsidP="008F2125">
            <w:pPr>
              <w:tabs>
                <w:tab w:val="left" w:pos="3953"/>
              </w:tabs>
              <w:jc w:val="center"/>
              <w:rPr>
                <w:b w:val="0"/>
                <w:bCs w:val="0"/>
                <w:i/>
                <w:iCs/>
                <w:sz w:val="40"/>
                <w:szCs w:val="40"/>
              </w:rPr>
            </w:pPr>
            <w:r w:rsidRPr="00EF6DFA">
              <w:rPr>
                <w:b w:val="0"/>
                <w:bCs w:val="0"/>
                <w:i/>
                <w:iCs/>
                <w:sz w:val="40"/>
                <w:szCs w:val="40"/>
              </w:rPr>
              <w:t>August</w:t>
            </w:r>
          </w:p>
        </w:tc>
        <w:tc>
          <w:tcPr>
            <w:tcW w:w="2286" w:type="dxa"/>
            <w:shd w:val="clear" w:color="auto" w:fill="D9D9D9" w:themeFill="background1" w:themeFillShade="D9"/>
            <w:vAlign w:val="center"/>
          </w:tcPr>
          <w:p w14:paraId="10EA5160" w14:textId="30E20717" w:rsidR="008F2125"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084097A9" w14:textId="6A36C31D" w:rsidR="008F2125" w:rsidRPr="00D32BA5" w:rsidRDefault="008F2125" w:rsidP="008F2125">
            <w:pPr>
              <w:pStyle w:val="ListParagraph"/>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167" w:type="dxa"/>
            <w:shd w:val="clear" w:color="auto" w:fill="D9D9D9" w:themeFill="background1" w:themeFillShade="D9"/>
            <w:vAlign w:val="center"/>
          </w:tcPr>
          <w:p w14:paraId="3106E252" w14:textId="51E80D7F" w:rsidR="008F2125" w:rsidRPr="00D32BA5" w:rsidRDefault="008F2125"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4F14E923" w14:textId="77777777" w:rsidR="008F2125" w:rsidRDefault="00E72C38"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7" w:history="1">
              <w:r w:rsidR="008F2125" w:rsidRPr="00322A0A">
                <w:rPr>
                  <w:rStyle w:val="Hyperlink"/>
                  <w:sz w:val="20"/>
                  <w:szCs w:val="20"/>
                </w:rPr>
                <w:t>Personal protective equipment safety talk</w:t>
              </w:r>
            </w:hyperlink>
            <w:r w:rsidR="008F2125" w:rsidRPr="00322A0A">
              <w:rPr>
                <w:color w:val="2F5496" w:themeColor="accent1" w:themeShade="BF"/>
                <w:sz w:val="20"/>
                <w:szCs w:val="20"/>
              </w:rPr>
              <w:t xml:space="preserve"> </w:t>
            </w:r>
          </w:p>
          <w:p w14:paraId="702538E8" w14:textId="30A99C44" w:rsidR="008F2125" w:rsidRPr="00322A0A" w:rsidRDefault="00E72C38"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8" w:history="1">
              <w:r w:rsidR="00384E6E">
                <w:rPr>
                  <w:rStyle w:val="Hyperlink"/>
                  <w:sz w:val="20"/>
                  <w:szCs w:val="20"/>
                </w:rPr>
                <w:t>Hearing conservation safety talk</w:t>
              </w:r>
            </w:hyperlink>
            <w:r w:rsidR="00384E6E">
              <w:rPr>
                <w:color w:val="2F5496" w:themeColor="accent1" w:themeShade="BF"/>
                <w:sz w:val="20"/>
                <w:szCs w:val="20"/>
              </w:rPr>
              <w:t xml:space="preserve"> </w:t>
            </w:r>
          </w:p>
        </w:tc>
      </w:tr>
      <w:tr w:rsidR="00384E6E" w14:paraId="35E1D36C" w14:textId="187E937B" w:rsidTr="00D25DD3">
        <w:trPr>
          <w:trHeight w:val="224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8F2125" w:rsidRPr="00BE7657" w:rsidRDefault="008F2125" w:rsidP="008F2125">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217201A1"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204" w:type="dxa"/>
            <w:shd w:val="clear" w:color="auto" w:fill="F2F2F2" w:themeFill="background1" w:themeFillShade="F2"/>
            <w:vAlign w:val="center"/>
          </w:tcPr>
          <w:p w14:paraId="534E234A" w14:textId="2DB54F3D"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1FAD9128" w14:textId="77777777" w:rsidR="008F2125" w:rsidRDefault="008F2125"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8F2125" w:rsidRDefault="008F2125"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8F2125" w:rsidRPr="00E5754B" w:rsidRDefault="008F2125" w:rsidP="008F2125">
            <w:pPr>
              <w:pStyle w:val="ListParagraph"/>
              <w:numPr>
                <w:ilvl w:val="0"/>
                <w:numId w:val="7"/>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3259" w:type="dxa"/>
            <w:shd w:val="clear" w:color="auto" w:fill="F2F2F2" w:themeFill="background1" w:themeFillShade="F2"/>
            <w:vAlign w:val="center"/>
          </w:tcPr>
          <w:p w14:paraId="4AEC9C91" w14:textId="7720748D" w:rsidR="008F2125" w:rsidRPr="009026EB" w:rsidRDefault="00E72C38"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9" w:history="1">
              <w:r w:rsidR="008F2125" w:rsidRPr="009026EB">
                <w:rPr>
                  <w:rStyle w:val="Hyperlink"/>
                  <w:sz w:val="20"/>
                  <w:szCs w:val="20"/>
                </w:rPr>
                <w:t>Common slip trip and fall hazards safety talk</w:t>
              </w:r>
            </w:hyperlink>
            <w:r w:rsidR="008F2125" w:rsidRPr="009026EB">
              <w:rPr>
                <w:color w:val="2F5496" w:themeColor="accent1" w:themeShade="BF"/>
                <w:sz w:val="20"/>
                <w:szCs w:val="20"/>
              </w:rPr>
              <w:t xml:space="preserve"> </w:t>
            </w:r>
          </w:p>
        </w:tc>
      </w:tr>
      <w:tr w:rsidR="00384E6E" w14:paraId="2BAD31A2" w14:textId="723F3A11" w:rsidTr="00D25DD3">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8F2125" w:rsidRPr="00BE7657" w:rsidRDefault="008F2125" w:rsidP="008F2125">
            <w:pPr>
              <w:tabs>
                <w:tab w:val="left" w:pos="3953"/>
              </w:tabs>
              <w:jc w:val="center"/>
              <w:rPr>
                <w:b w:val="0"/>
                <w:bCs w:val="0"/>
                <w:i/>
                <w:iCs/>
                <w:sz w:val="40"/>
                <w:szCs w:val="40"/>
              </w:rPr>
            </w:pPr>
            <w:r w:rsidRPr="00BE7657">
              <w:rPr>
                <w:b w:val="0"/>
                <w:bCs w:val="0"/>
                <w:i/>
                <w:iCs/>
                <w:sz w:val="40"/>
                <w:szCs w:val="40"/>
              </w:rPr>
              <w:t>October</w:t>
            </w:r>
          </w:p>
        </w:tc>
        <w:tc>
          <w:tcPr>
            <w:tcW w:w="2286" w:type="dxa"/>
            <w:shd w:val="clear" w:color="auto" w:fill="D9D9D9" w:themeFill="background1" w:themeFillShade="D9"/>
            <w:vAlign w:val="center"/>
          </w:tcPr>
          <w:p w14:paraId="4AEC1F07" w14:textId="6D2F24BE"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204" w:type="dxa"/>
            <w:shd w:val="clear" w:color="auto" w:fill="D9D9D9" w:themeFill="background1" w:themeFillShade="D9"/>
            <w:vAlign w:val="center"/>
          </w:tcPr>
          <w:p w14:paraId="5F6F2615" w14:textId="44A16F2E"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4167" w:type="dxa"/>
            <w:shd w:val="clear" w:color="auto" w:fill="D9D9D9" w:themeFill="background1" w:themeFillShade="D9"/>
            <w:vAlign w:val="center"/>
          </w:tcPr>
          <w:p w14:paraId="00330FC2" w14:textId="77777777" w:rsidR="008F2125" w:rsidRDefault="008F2125"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41F02300" w14:textId="77777777" w:rsidR="008F2125" w:rsidRDefault="008F2125"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347B8035" w14:textId="07F312D8" w:rsidR="008F2125" w:rsidRDefault="008F2125"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w:t>
            </w:r>
            <w:r w:rsidR="00384E6E">
              <w:rPr>
                <w:color w:val="2F5496" w:themeColor="accent1" w:themeShade="BF"/>
                <w:sz w:val="24"/>
                <w:szCs w:val="24"/>
              </w:rPr>
              <w:t xml:space="preserve"> </w:t>
            </w:r>
            <w:r>
              <w:rPr>
                <w:color w:val="2F5496" w:themeColor="accent1" w:themeShade="BF"/>
                <w:sz w:val="24"/>
                <w:szCs w:val="24"/>
              </w:rPr>
              <w:t>tagout procedures</w:t>
            </w:r>
          </w:p>
          <w:p w14:paraId="4614EBF7" w14:textId="00F244E1" w:rsidR="008F2125" w:rsidRPr="00E21E2B" w:rsidRDefault="008F2125" w:rsidP="008F2125">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tcW w:w="3259" w:type="dxa"/>
            <w:shd w:val="clear" w:color="auto" w:fill="D9D9D9" w:themeFill="background1" w:themeFillShade="D9"/>
            <w:vAlign w:val="center"/>
          </w:tcPr>
          <w:p w14:paraId="7EA3A4BE" w14:textId="3F01DCDC" w:rsidR="008F2125" w:rsidRPr="006242B4" w:rsidRDefault="00E72C38"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0" w:history="1">
              <w:r w:rsidR="008F2125" w:rsidRPr="006242B4">
                <w:rPr>
                  <w:rStyle w:val="Hyperlink"/>
                  <w:sz w:val="20"/>
                  <w:szCs w:val="20"/>
                </w:rPr>
                <w:t>Hand and power tools safety talk</w:t>
              </w:r>
            </w:hyperlink>
            <w:r w:rsidR="008F2125" w:rsidRPr="006242B4">
              <w:rPr>
                <w:color w:val="2F5496" w:themeColor="accent1" w:themeShade="BF"/>
                <w:sz w:val="20"/>
                <w:szCs w:val="20"/>
              </w:rPr>
              <w:t xml:space="preserve"> </w:t>
            </w:r>
          </w:p>
        </w:tc>
      </w:tr>
      <w:tr w:rsidR="00384E6E" w14:paraId="76DA1C8B" w14:textId="66F415EA" w:rsidTr="00D25DD3">
        <w:trPr>
          <w:trHeight w:val="1403"/>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8F2125" w:rsidRPr="00BE7657" w:rsidRDefault="008F2125" w:rsidP="008F2125">
            <w:pPr>
              <w:tabs>
                <w:tab w:val="left" w:pos="3953"/>
              </w:tabs>
              <w:jc w:val="center"/>
              <w:rPr>
                <w:i/>
                <w:iCs/>
                <w:sz w:val="40"/>
                <w:szCs w:val="40"/>
              </w:rPr>
            </w:pPr>
          </w:p>
        </w:tc>
        <w:tc>
          <w:tcPr>
            <w:tcW w:w="2286" w:type="dxa"/>
            <w:shd w:val="clear" w:color="auto" w:fill="D9D9D9" w:themeFill="background1" w:themeFillShade="D9"/>
            <w:vAlign w:val="center"/>
          </w:tcPr>
          <w:p w14:paraId="7D88C863" w14:textId="6949141F"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204" w:type="dxa"/>
            <w:shd w:val="clear" w:color="auto" w:fill="D9D9D9" w:themeFill="background1" w:themeFillShade="D9"/>
            <w:vAlign w:val="center"/>
          </w:tcPr>
          <w:p w14:paraId="037C7C00" w14:textId="3395E5CB" w:rsidR="008F2125"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4167" w:type="dxa"/>
            <w:shd w:val="clear" w:color="auto" w:fill="D9D9D9" w:themeFill="background1" w:themeFillShade="D9"/>
            <w:vAlign w:val="center"/>
          </w:tcPr>
          <w:p w14:paraId="59ADAD31" w14:textId="189D7DB5" w:rsidR="008F2125" w:rsidRDefault="008F2125" w:rsidP="008F212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c>
          <w:tcPr>
            <w:tcW w:w="3259" w:type="dxa"/>
            <w:shd w:val="clear" w:color="auto" w:fill="D9D9D9" w:themeFill="background1" w:themeFillShade="D9"/>
            <w:vAlign w:val="center"/>
          </w:tcPr>
          <w:p w14:paraId="2A264613" w14:textId="55B7E840" w:rsidR="008F2125" w:rsidRPr="006242B4" w:rsidRDefault="00E72C38" w:rsidP="008F212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sidR="008F2125" w:rsidRPr="006242B4">
                <w:rPr>
                  <w:rStyle w:val="Hyperlink"/>
                  <w:sz w:val="20"/>
                  <w:szCs w:val="20"/>
                </w:rPr>
                <w:t>Machine guarding safety talk</w:t>
              </w:r>
            </w:hyperlink>
            <w:r w:rsidR="008F2125" w:rsidRPr="006242B4">
              <w:rPr>
                <w:color w:val="2F5496" w:themeColor="accent1" w:themeShade="BF"/>
                <w:sz w:val="20"/>
                <w:szCs w:val="20"/>
              </w:rPr>
              <w:t xml:space="preserve"> </w:t>
            </w:r>
          </w:p>
          <w:p w14:paraId="3CF9ACD1" w14:textId="27B371ED" w:rsidR="008F2125" w:rsidRPr="006242B4" w:rsidRDefault="00E72C38" w:rsidP="008F2125">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2" w:history="1">
              <w:r w:rsidR="008F2125" w:rsidRPr="006242B4">
                <w:rPr>
                  <w:rStyle w:val="Hyperlink"/>
                  <w:sz w:val="20"/>
                  <w:szCs w:val="20"/>
                </w:rPr>
                <w:t>Hand and power tool guarding safety talk</w:t>
              </w:r>
            </w:hyperlink>
            <w:r w:rsidR="008F2125" w:rsidRPr="006242B4">
              <w:rPr>
                <w:color w:val="2F5496" w:themeColor="accent1" w:themeShade="BF"/>
                <w:sz w:val="20"/>
                <w:szCs w:val="20"/>
              </w:rPr>
              <w:t xml:space="preserve"> </w:t>
            </w:r>
          </w:p>
        </w:tc>
      </w:tr>
      <w:tr w:rsidR="00384E6E" w14:paraId="625D6472" w14:textId="51679C9A" w:rsidTr="00D25DD3">
        <w:trPr>
          <w:cnfStyle w:val="000000100000" w:firstRow="0" w:lastRow="0" w:firstColumn="0" w:lastColumn="0" w:oddVBand="0" w:evenVBand="0" w:oddHBand="1" w:evenHBand="0" w:firstRowFirstColumn="0" w:firstRowLastColumn="0" w:lastRowFirstColumn="0" w:lastRowLastColumn="0"/>
          <w:trHeight w:val="16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8F2125" w:rsidRPr="00BE7657" w:rsidRDefault="008F2125" w:rsidP="008F2125">
            <w:pPr>
              <w:tabs>
                <w:tab w:val="left" w:pos="3953"/>
              </w:tabs>
              <w:jc w:val="center"/>
              <w:rPr>
                <w:b w:val="0"/>
                <w:bCs w:val="0"/>
                <w:i/>
                <w:iCs/>
                <w:sz w:val="40"/>
                <w:szCs w:val="40"/>
              </w:rPr>
            </w:pPr>
            <w:r w:rsidRPr="00BE7657">
              <w:rPr>
                <w:b w:val="0"/>
                <w:bCs w:val="0"/>
                <w:i/>
                <w:iCs/>
                <w:sz w:val="40"/>
                <w:szCs w:val="40"/>
              </w:rPr>
              <w:lastRenderedPageBreak/>
              <w:t>November</w:t>
            </w:r>
          </w:p>
        </w:tc>
        <w:tc>
          <w:tcPr>
            <w:tcW w:w="2286" w:type="dxa"/>
            <w:shd w:val="clear" w:color="auto" w:fill="F2F2F2" w:themeFill="background1" w:themeFillShade="F2"/>
            <w:vAlign w:val="center"/>
          </w:tcPr>
          <w:p w14:paraId="4EF8FBF4" w14:textId="184F9472"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40E694AF" w14:textId="23D473FA" w:rsidR="008F2125" w:rsidRPr="004E4689" w:rsidRDefault="008F2125"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8E2DDA1" w14:textId="37931327" w:rsidR="008F2125" w:rsidRPr="00BD72AF" w:rsidRDefault="008F2125" w:rsidP="008F2125">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to cover hazards such as inclement weather, distracted driving etc.</w:t>
            </w:r>
          </w:p>
        </w:tc>
        <w:tc>
          <w:tcPr>
            <w:tcW w:w="3259" w:type="dxa"/>
            <w:shd w:val="clear" w:color="auto" w:fill="F2F2F2" w:themeFill="background1" w:themeFillShade="F2"/>
            <w:vAlign w:val="center"/>
          </w:tcPr>
          <w:p w14:paraId="4E3B5A88" w14:textId="38AFB346" w:rsidR="008F2125" w:rsidRPr="009026EB" w:rsidRDefault="00E72C38" w:rsidP="008F2125">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3" w:history="1">
              <w:r w:rsidR="008F2125" w:rsidRPr="009026EB">
                <w:rPr>
                  <w:rStyle w:val="Hyperlink"/>
                  <w:sz w:val="20"/>
                  <w:szCs w:val="20"/>
                </w:rPr>
                <w:t>Cell phone use while driving safety talk</w:t>
              </w:r>
            </w:hyperlink>
            <w:r w:rsidR="008F2125" w:rsidRPr="009026EB">
              <w:rPr>
                <w:color w:val="2F5496" w:themeColor="accent1" w:themeShade="BF"/>
                <w:sz w:val="20"/>
                <w:szCs w:val="20"/>
              </w:rPr>
              <w:t xml:space="preserve"> </w:t>
            </w:r>
          </w:p>
          <w:p w14:paraId="1C5183EE" w14:textId="165415C8" w:rsidR="008F2125" w:rsidRPr="00150A9F" w:rsidRDefault="00E72C38" w:rsidP="008F2125">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4" w:history="1">
              <w:r w:rsidR="008F2125" w:rsidRPr="00150A9F">
                <w:rPr>
                  <w:rStyle w:val="Hyperlink"/>
                  <w:sz w:val="20"/>
                  <w:szCs w:val="20"/>
                </w:rPr>
                <w:t>Defensive driving safety talk</w:t>
              </w:r>
            </w:hyperlink>
            <w:r w:rsidR="008F2125" w:rsidRPr="00150A9F">
              <w:rPr>
                <w:color w:val="2F5496" w:themeColor="accent1" w:themeShade="BF"/>
                <w:sz w:val="20"/>
                <w:szCs w:val="20"/>
              </w:rPr>
              <w:t xml:space="preserve">    </w:t>
            </w:r>
          </w:p>
          <w:p w14:paraId="0EEF8F26" w14:textId="5346CF4C" w:rsidR="008F2125" w:rsidRPr="00150A9F" w:rsidRDefault="00E72C38" w:rsidP="008F2125">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5" w:history="1">
              <w:r w:rsidR="008F2125" w:rsidRPr="00150A9F">
                <w:rPr>
                  <w:rStyle w:val="Hyperlink"/>
                  <w:sz w:val="20"/>
                  <w:szCs w:val="20"/>
                </w:rPr>
                <w:t>Severe weather safety talk</w:t>
              </w:r>
            </w:hyperlink>
            <w:r w:rsidR="008F2125" w:rsidRPr="00150A9F">
              <w:rPr>
                <w:color w:val="2F5496" w:themeColor="accent1" w:themeShade="BF"/>
                <w:sz w:val="20"/>
                <w:szCs w:val="20"/>
              </w:rPr>
              <w:t xml:space="preserve"> </w:t>
            </w:r>
          </w:p>
        </w:tc>
      </w:tr>
      <w:tr w:rsidR="008F2125" w14:paraId="28677769" w14:textId="77777777" w:rsidTr="0008433D">
        <w:trPr>
          <w:trHeight w:val="36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07DF63" w14:textId="62198BF1" w:rsidR="008F2125" w:rsidRPr="00EF6DFA" w:rsidRDefault="00EF6DFA" w:rsidP="008F2125">
            <w:pPr>
              <w:tabs>
                <w:tab w:val="left" w:pos="3953"/>
              </w:tabs>
              <w:jc w:val="center"/>
              <w:rPr>
                <w:b w:val="0"/>
                <w:bCs w:val="0"/>
                <w:i/>
                <w:iCs/>
                <w:sz w:val="40"/>
                <w:szCs w:val="40"/>
              </w:rPr>
            </w:pPr>
            <w:r w:rsidRPr="00EF6DFA">
              <w:rPr>
                <w:b w:val="0"/>
                <w:bCs w:val="0"/>
                <w:i/>
                <w:iCs/>
                <w:sz w:val="40"/>
                <w:szCs w:val="40"/>
              </w:rPr>
              <w:t>December</w:t>
            </w:r>
          </w:p>
        </w:tc>
        <w:tc>
          <w:tcPr>
            <w:tcW w:w="2286" w:type="dxa"/>
            <w:shd w:val="clear" w:color="auto" w:fill="D9D9D9" w:themeFill="background1" w:themeFillShade="D9"/>
            <w:vAlign w:val="center"/>
          </w:tcPr>
          <w:p w14:paraId="5E11A5EA" w14:textId="6D9E1EC1"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 xml:space="preserve">Confined </w:t>
            </w:r>
            <w:r>
              <w:rPr>
                <w:color w:val="2F5496" w:themeColor="accent1" w:themeShade="BF"/>
                <w:sz w:val="24"/>
                <w:szCs w:val="24"/>
              </w:rPr>
              <w:t>s</w:t>
            </w:r>
            <w:r w:rsidRPr="00356B7D">
              <w:rPr>
                <w:color w:val="2F5496" w:themeColor="accent1" w:themeShade="BF"/>
                <w:sz w:val="24"/>
                <w:szCs w:val="24"/>
              </w:rPr>
              <w:t>pace</w:t>
            </w:r>
            <w:r>
              <w:rPr>
                <w:color w:val="2F5496" w:themeColor="accent1" w:themeShade="BF"/>
                <w:sz w:val="24"/>
                <w:szCs w:val="24"/>
              </w:rPr>
              <w:t xml:space="preserve"> and p</w:t>
            </w:r>
            <w:r w:rsidRPr="00356B7D">
              <w:rPr>
                <w:color w:val="2F5496" w:themeColor="accent1" w:themeShade="BF"/>
                <w:sz w:val="24"/>
                <w:szCs w:val="24"/>
              </w:rPr>
              <w:t xml:space="preserve">ermit </w:t>
            </w:r>
            <w:r>
              <w:rPr>
                <w:color w:val="2F5496" w:themeColor="accent1" w:themeShade="BF"/>
                <w:sz w:val="24"/>
                <w:szCs w:val="24"/>
              </w:rPr>
              <w:t>r</w:t>
            </w:r>
            <w:r w:rsidRPr="00356B7D">
              <w:rPr>
                <w:color w:val="2F5496" w:themeColor="accent1" w:themeShade="BF"/>
                <w:sz w:val="24"/>
                <w:szCs w:val="24"/>
              </w:rPr>
              <w:t xml:space="preserve">equired </w:t>
            </w:r>
            <w:r>
              <w:rPr>
                <w:color w:val="2F5496" w:themeColor="accent1" w:themeShade="BF"/>
                <w:sz w:val="24"/>
                <w:szCs w:val="24"/>
              </w:rPr>
              <w:t>c</w:t>
            </w:r>
            <w:r w:rsidRPr="00356B7D">
              <w:rPr>
                <w:color w:val="2F5496" w:themeColor="accent1" w:themeShade="BF"/>
                <w:sz w:val="24"/>
                <w:szCs w:val="24"/>
              </w:rPr>
              <w:t xml:space="preserve">onfined </w:t>
            </w:r>
            <w:r>
              <w:rPr>
                <w:color w:val="2F5496" w:themeColor="accent1" w:themeShade="BF"/>
                <w:sz w:val="24"/>
                <w:szCs w:val="24"/>
              </w:rPr>
              <w:t>s</w:t>
            </w:r>
            <w:r w:rsidRPr="00356B7D">
              <w:rPr>
                <w:color w:val="2F5496" w:themeColor="accent1" w:themeShade="BF"/>
                <w:sz w:val="24"/>
                <w:szCs w:val="24"/>
              </w:rPr>
              <w:t>pace</w:t>
            </w:r>
          </w:p>
        </w:tc>
        <w:tc>
          <w:tcPr>
            <w:tcW w:w="2204" w:type="dxa"/>
            <w:shd w:val="clear" w:color="auto" w:fill="D9D9D9" w:themeFill="background1" w:themeFillShade="D9"/>
            <w:vAlign w:val="center"/>
          </w:tcPr>
          <w:p w14:paraId="6616F0C0" w14:textId="602BD03E" w:rsidR="008F2125" w:rsidRPr="004E4689" w:rsidRDefault="008F2125"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56B7D">
              <w:rPr>
                <w:color w:val="2F5496" w:themeColor="accent1" w:themeShade="BF"/>
                <w:sz w:val="24"/>
                <w:szCs w:val="24"/>
              </w:rPr>
              <w:t>29 CFR 1926.1053</w:t>
            </w:r>
            <w:r>
              <w:rPr>
                <w:color w:val="2F5496" w:themeColor="accent1" w:themeShade="BF"/>
                <w:sz w:val="24"/>
                <w:szCs w:val="24"/>
              </w:rPr>
              <w:t xml:space="preserve"> and </w:t>
            </w:r>
            <w:r w:rsidRPr="00356B7D">
              <w:rPr>
                <w:color w:val="2F5496" w:themeColor="accent1" w:themeShade="BF"/>
                <w:sz w:val="24"/>
                <w:szCs w:val="24"/>
              </w:rPr>
              <w:t>29 CFR 1910.146</w:t>
            </w:r>
          </w:p>
        </w:tc>
        <w:tc>
          <w:tcPr>
            <w:tcW w:w="4167" w:type="dxa"/>
            <w:shd w:val="clear" w:color="auto" w:fill="D9D9D9" w:themeFill="background1" w:themeFillShade="D9"/>
            <w:vAlign w:val="center"/>
          </w:tcPr>
          <w:p w14:paraId="0BE0C1C7"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For employees that work in confined spaces, training should include safe performance of their duties before initial assignment</w:t>
            </w:r>
          </w:p>
          <w:p w14:paraId="4876AE4F"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Before a change in assigned duties</w:t>
            </w:r>
          </w:p>
          <w:p w14:paraId="0C09DD53"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Upon a change in operations that presents a new hazard</w:t>
            </w:r>
          </w:p>
          <w:p w14:paraId="717C7DB6"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there are deviations in procedures</w:t>
            </w:r>
          </w:p>
          <w:p w14:paraId="4FEF90AC" w14:textId="77777777" w:rsidR="008F2125" w:rsidRDefault="008F2125" w:rsidP="008F212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When employee knowledge is inadequate</w:t>
            </w:r>
          </w:p>
          <w:p w14:paraId="191EE16D" w14:textId="348E0382" w:rsidR="008F2125" w:rsidRPr="00AB3C4D" w:rsidRDefault="008F2125" w:rsidP="008F2125">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Written certification of training is required</w:t>
            </w:r>
          </w:p>
        </w:tc>
        <w:tc>
          <w:tcPr>
            <w:tcW w:w="3259" w:type="dxa"/>
            <w:shd w:val="clear" w:color="auto" w:fill="D9D9D9" w:themeFill="background1" w:themeFillShade="D9"/>
            <w:vAlign w:val="center"/>
          </w:tcPr>
          <w:p w14:paraId="3BF9CD9F" w14:textId="77777777" w:rsidR="008F2125" w:rsidRDefault="00E72C38" w:rsidP="008F212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6" w:history="1">
              <w:r w:rsidR="00384E6E">
                <w:rPr>
                  <w:rStyle w:val="Hyperlink"/>
                  <w:sz w:val="20"/>
                  <w:szCs w:val="20"/>
                </w:rPr>
                <w:t>Confined space safety talk</w:t>
              </w:r>
            </w:hyperlink>
            <w:r w:rsidR="00384E6E">
              <w:rPr>
                <w:color w:val="2F5496" w:themeColor="accent1" w:themeShade="BF"/>
                <w:sz w:val="20"/>
                <w:szCs w:val="20"/>
              </w:rPr>
              <w:t xml:space="preserve"> </w:t>
            </w:r>
          </w:p>
          <w:p w14:paraId="440EB067" w14:textId="77777777" w:rsidR="00841522" w:rsidRPr="00841522" w:rsidRDefault="00841522" w:rsidP="008F212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7" w:history="1">
              <w:r w:rsidRPr="00841522">
                <w:rPr>
                  <w:rStyle w:val="Hyperlink"/>
                  <w:sz w:val="20"/>
                  <w:szCs w:val="20"/>
                </w:rPr>
                <w:t>Confined Space Entry</w:t>
              </w:r>
            </w:hyperlink>
          </w:p>
          <w:p w14:paraId="50BAC6BF" w14:textId="64A93DED" w:rsidR="00841522" w:rsidRPr="009026EB" w:rsidRDefault="00E8469D" w:rsidP="008F2125">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8" w:history="1">
              <w:r w:rsidRPr="00E8469D">
                <w:rPr>
                  <w:rStyle w:val="Hyperlink"/>
                  <w:sz w:val="20"/>
                  <w:szCs w:val="20"/>
                </w:rPr>
                <w:t>Confined Space Entry</w:t>
              </w:r>
              <w:r>
                <w:rPr>
                  <w:rStyle w:val="Hyperlink"/>
                  <w:sz w:val="20"/>
                  <w:szCs w:val="20"/>
                </w:rPr>
                <w:t xml:space="preserve"> (</w:t>
              </w:r>
              <w:r w:rsidRPr="00E8469D">
                <w:rPr>
                  <w:rStyle w:val="Hyperlink"/>
                  <w:sz w:val="20"/>
                  <w:szCs w:val="20"/>
                </w:rPr>
                <w:t>Spanish)</w:t>
              </w:r>
            </w:hyperlink>
          </w:p>
        </w:tc>
      </w:tr>
      <w:tr w:rsidR="008F2125" w14:paraId="6F4A4D3A" w14:textId="2956C7BC" w:rsidTr="00583ED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403BBF3D" w14:textId="77777777" w:rsidR="008F2125" w:rsidRPr="006F45A0" w:rsidRDefault="008F2125" w:rsidP="008F2125">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8F2125" w:rsidRPr="006F45A0" w:rsidRDefault="008F2125" w:rsidP="008F2125">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39"/>
      <w:footerReference w:type="default" r:id="rId40"/>
      <w:headerReference w:type="first" r:id="rId41"/>
      <w:footerReference w:type="first" r:id="rId42"/>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1055AF89"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D01A8D">
                            <w:rPr>
                              <w:color w:val="2F5496" w:themeColor="accent1" w:themeShade="BF"/>
                              <w:sz w:val="80"/>
                              <w:szCs w:val="80"/>
                            </w:rPr>
                            <w:t xml:space="preserve">Tank Building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" stroked="f">
              <v:textbox>
                <w:txbxContent>
                  <w:p w14:paraId="7336BA71" w14:textId="1055AF89"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D01A8D">
                      <w:rPr>
                        <w:color w:val="2F5496" w:themeColor="accent1" w:themeShade="BF"/>
                        <w:sz w:val="80"/>
                        <w:szCs w:val="80"/>
                      </w:rPr>
                      <w:t xml:space="preserve">Tank Building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43DA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894829">
    <w:abstractNumId w:val="8"/>
  </w:num>
  <w:num w:numId="2" w16cid:durableId="428164028">
    <w:abstractNumId w:val="6"/>
  </w:num>
  <w:num w:numId="3" w16cid:durableId="437724016">
    <w:abstractNumId w:val="13"/>
  </w:num>
  <w:num w:numId="4" w16cid:durableId="554126988">
    <w:abstractNumId w:val="12"/>
  </w:num>
  <w:num w:numId="5" w16cid:durableId="551581700">
    <w:abstractNumId w:val="3"/>
  </w:num>
  <w:num w:numId="6" w16cid:durableId="1914926261">
    <w:abstractNumId w:val="7"/>
  </w:num>
  <w:num w:numId="7" w16cid:durableId="487944767">
    <w:abstractNumId w:val="0"/>
  </w:num>
  <w:num w:numId="8" w16cid:durableId="1125002839">
    <w:abstractNumId w:val="10"/>
  </w:num>
  <w:num w:numId="9" w16cid:durableId="1754625063">
    <w:abstractNumId w:val="9"/>
  </w:num>
  <w:num w:numId="10" w16cid:durableId="458033927">
    <w:abstractNumId w:val="11"/>
  </w:num>
  <w:num w:numId="11" w16cid:durableId="827669564">
    <w:abstractNumId w:val="4"/>
  </w:num>
  <w:num w:numId="12" w16cid:durableId="942810421">
    <w:abstractNumId w:val="1"/>
  </w:num>
  <w:num w:numId="13" w16cid:durableId="902376082">
    <w:abstractNumId w:val="5"/>
  </w:num>
  <w:num w:numId="14" w16cid:durableId="1706440741">
    <w:abstractNumId w:val="2"/>
  </w:num>
  <w:num w:numId="15" w16cid:durableId="3649092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00D7A"/>
    <w:rsid w:val="000266A4"/>
    <w:rsid w:val="00032CDC"/>
    <w:rsid w:val="000427BA"/>
    <w:rsid w:val="00046CC9"/>
    <w:rsid w:val="00047665"/>
    <w:rsid w:val="00057C87"/>
    <w:rsid w:val="0006783A"/>
    <w:rsid w:val="00070BA6"/>
    <w:rsid w:val="000921C4"/>
    <w:rsid w:val="000B1482"/>
    <w:rsid w:val="000B2AD9"/>
    <w:rsid w:val="000E793C"/>
    <w:rsid w:val="000F3E9E"/>
    <w:rsid w:val="00144DC8"/>
    <w:rsid w:val="00150A9F"/>
    <w:rsid w:val="00152C3D"/>
    <w:rsid w:val="00174510"/>
    <w:rsid w:val="00194307"/>
    <w:rsid w:val="00196A6D"/>
    <w:rsid w:val="001A0658"/>
    <w:rsid w:val="001B4148"/>
    <w:rsid w:val="001D1384"/>
    <w:rsid w:val="001D302C"/>
    <w:rsid w:val="001D6C4E"/>
    <w:rsid w:val="001D6DA5"/>
    <w:rsid w:val="001D7251"/>
    <w:rsid w:val="001E04C8"/>
    <w:rsid w:val="00236CE3"/>
    <w:rsid w:val="0025142B"/>
    <w:rsid w:val="002634E5"/>
    <w:rsid w:val="002636F8"/>
    <w:rsid w:val="00271F4D"/>
    <w:rsid w:val="00276310"/>
    <w:rsid w:val="00293916"/>
    <w:rsid w:val="002A161C"/>
    <w:rsid w:val="002A1AE1"/>
    <w:rsid w:val="002E14D8"/>
    <w:rsid w:val="002E7D51"/>
    <w:rsid w:val="003047AA"/>
    <w:rsid w:val="00307087"/>
    <w:rsid w:val="00322A0A"/>
    <w:rsid w:val="003252C0"/>
    <w:rsid w:val="00341DE2"/>
    <w:rsid w:val="00353ABB"/>
    <w:rsid w:val="00376442"/>
    <w:rsid w:val="00384E6E"/>
    <w:rsid w:val="003A21C2"/>
    <w:rsid w:val="003B271E"/>
    <w:rsid w:val="00417136"/>
    <w:rsid w:val="00423EF5"/>
    <w:rsid w:val="00424890"/>
    <w:rsid w:val="004516FE"/>
    <w:rsid w:val="00454310"/>
    <w:rsid w:val="00480843"/>
    <w:rsid w:val="00480B08"/>
    <w:rsid w:val="0048733C"/>
    <w:rsid w:val="00492C1F"/>
    <w:rsid w:val="004B3473"/>
    <w:rsid w:val="004C6A07"/>
    <w:rsid w:val="004E1332"/>
    <w:rsid w:val="004E4689"/>
    <w:rsid w:val="00510256"/>
    <w:rsid w:val="0051668A"/>
    <w:rsid w:val="00523594"/>
    <w:rsid w:val="00584B7C"/>
    <w:rsid w:val="00596355"/>
    <w:rsid w:val="005F13D5"/>
    <w:rsid w:val="00603BB1"/>
    <w:rsid w:val="0061483C"/>
    <w:rsid w:val="006242B4"/>
    <w:rsid w:val="006374C0"/>
    <w:rsid w:val="0064547A"/>
    <w:rsid w:val="00656F3A"/>
    <w:rsid w:val="006607ED"/>
    <w:rsid w:val="00676FA2"/>
    <w:rsid w:val="006B67A8"/>
    <w:rsid w:val="006F2D5D"/>
    <w:rsid w:val="006F45A0"/>
    <w:rsid w:val="00723CCE"/>
    <w:rsid w:val="00792D0B"/>
    <w:rsid w:val="007947B2"/>
    <w:rsid w:val="007959E0"/>
    <w:rsid w:val="007B2A1F"/>
    <w:rsid w:val="0081219A"/>
    <w:rsid w:val="008354FF"/>
    <w:rsid w:val="00841522"/>
    <w:rsid w:val="008473ED"/>
    <w:rsid w:val="008671EE"/>
    <w:rsid w:val="008829F5"/>
    <w:rsid w:val="008B0A80"/>
    <w:rsid w:val="008B3961"/>
    <w:rsid w:val="008C07B9"/>
    <w:rsid w:val="008C243B"/>
    <w:rsid w:val="008F2125"/>
    <w:rsid w:val="009026EB"/>
    <w:rsid w:val="00907502"/>
    <w:rsid w:val="00915481"/>
    <w:rsid w:val="009164CA"/>
    <w:rsid w:val="00927C7A"/>
    <w:rsid w:val="00941725"/>
    <w:rsid w:val="0095400D"/>
    <w:rsid w:val="00957655"/>
    <w:rsid w:val="00957EA6"/>
    <w:rsid w:val="00960332"/>
    <w:rsid w:val="00975E83"/>
    <w:rsid w:val="00991C9F"/>
    <w:rsid w:val="009B0484"/>
    <w:rsid w:val="009C5297"/>
    <w:rsid w:val="009C736C"/>
    <w:rsid w:val="009E27BC"/>
    <w:rsid w:val="009F0CF4"/>
    <w:rsid w:val="00A15477"/>
    <w:rsid w:val="00A17304"/>
    <w:rsid w:val="00A5153A"/>
    <w:rsid w:val="00A541F2"/>
    <w:rsid w:val="00A55E25"/>
    <w:rsid w:val="00A6491D"/>
    <w:rsid w:val="00A74063"/>
    <w:rsid w:val="00A828D8"/>
    <w:rsid w:val="00AA1615"/>
    <w:rsid w:val="00AB3C4D"/>
    <w:rsid w:val="00AC7B29"/>
    <w:rsid w:val="00AE502A"/>
    <w:rsid w:val="00AF43D0"/>
    <w:rsid w:val="00AF550C"/>
    <w:rsid w:val="00AF6F3B"/>
    <w:rsid w:val="00B00D7F"/>
    <w:rsid w:val="00B07BA8"/>
    <w:rsid w:val="00B106B9"/>
    <w:rsid w:val="00B27342"/>
    <w:rsid w:val="00B27AD6"/>
    <w:rsid w:val="00B3319E"/>
    <w:rsid w:val="00B506D5"/>
    <w:rsid w:val="00B5168A"/>
    <w:rsid w:val="00B5776C"/>
    <w:rsid w:val="00B64AF6"/>
    <w:rsid w:val="00B9410E"/>
    <w:rsid w:val="00BA19F2"/>
    <w:rsid w:val="00BD5DC9"/>
    <w:rsid w:val="00BD72AF"/>
    <w:rsid w:val="00BE7657"/>
    <w:rsid w:val="00C00FE5"/>
    <w:rsid w:val="00C0709F"/>
    <w:rsid w:val="00C303BE"/>
    <w:rsid w:val="00C30AB4"/>
    <w:rsid w:val="00C32F1C"/>
    <w:rsid w:val="00C44428"/>
    <w:rsid w:val="00C62F4A"/>
    <w:rsid w:val="00C76FA3"/>
    <w:rsid w:val="00C8422F"/>
    <w:rsid w:val="00CB6B77"/>
    <w:rsid w:val="00CC380B"/>
    <w:rsid w:val="00CD727A"/>
    <w:rsid w:val="00CE7232"/>
    <w:rsid w:val="00D01A8D"/>
    <w:rsid w:val="00D25DD3"/>
    <w:rsid w:val="00D72918"/>
    <w:rsid w:val="00D875A1"/>
    <w:rsid w:val="00DA1AA3"/>
    <w:rsid w:val="00DB3AD2"/>
    <w:rsid w:val="00DB64C6"/>
    <w:rsid w:val="00DD3684"/>
    <w:rsid w:val="00DE3ABD"/>
    <w:rsid w:val="00DF6D94"/>
    <w:rsid w:val="00E21E2B"/>
    <w:rsid w:val="00E36201"/>
    <w:rsid w:val="00E41962"/>
    <w:rsid w:val="00E5754B"/>
    <w:rsid w:val="00E72C38"/>
    <w:rsid w:val="00E7529C"/>
    <w:rsid w:val="00E8469D"/>
    <w:rsid w:val="00EA3C5B"/>
    <w:rsid w:val="00EB4C2C"/>
    <w:rsid w:val="00EB697F"/>
    <w:rsid w:val="00EC21A2"/>
    <w:rsid w:val="00EE4FDD"/>
    <w:rsid w:val="00EF6DFA"/>
    <w:rsid w:val="00F200B9"/>
    <w:rsid w:val="00F26C28"/>
    <w:rsid w:val="00F57328"/>
    <w:rsid w:val="00F60038"/>
    <w:rsid w:val="00F7731A"/>
    <w:rsid w:val="00F916FB"/>
    <w:rsid w:val="00FB1A52"/>
    <w:rsid w:val="00FB3939"/>
    <w:rsid w:val="00FC1416"/>
    <w:rsid w:val="00FC2CFE"/>
    <w:rsid w:val="00FD0D4C"/>
    <w:rsid w:val="00FE09DF"/>
    <w:rsid w:val="00FE0A8A"/>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927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what-to-do-in-case-of-an-incident-safety-talk/" TargetMode="External"/><Relationship Id="rId18" Type="http://schemas.openxmlformats.org/officeDocument/2006/relationships/hyperlink" Target="https://www.compsourcemutual.com/resources/safety-library/fall-protection-fixed-ladders-catwalks-stairs/" TargetMode="External"/><Relationship Id="rId26" Type="http://schemas.openxmlformats.org/officeDocument/2006/relationships/hyperlink" Target="https://compsource-mutual-training-library.safetysourceonline.com/video/welding-safety-the-basics-ss1103as-10-min-spanish/" TargetMode="External"/><Relationship Id="rId39" Type="http://schemas.openxmlformats.org/officeDocument/2006/relationships/header" Target="header1.xml"/><Relationship Id="rId21" Type="http://schemas.openxmlformats.org/officeDocument/2006/relationships/hyperlink" Target="https://compsource-mutual-training-library.safetysourceonline.com/video/crane-safety-construction-environment-ssc055e/" TargetMode="External"/><Relationship Id="rId34" Type="http://schemas.openxmlformats.org/officeDocument/2006/relationships/hyperlink" Target="https://www.compsourcemutual.com/knowledge-center/defensive-driving/"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knowledge-center/fall-protection-safety-talk-2/" TargetMode="External"/><Relationship Id="rId20" Type="http://schemas.openxmlformats.org/officeDocument/2006/relationships/hyperlink" Target="https://www.compsourcemutual.com/knowledge-center/working-in-the-cold-safety-talk/" TargetMode="External"/><Relationship Id="rId29" Type="http://schemas.openxmlformats.org/officeDocument/2006/relationships/hyperlink" Target="https://www.compsourcemutual.com/knowledge-center/common-slip-trip-and-fall-hazards-safety-talk-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tips-for-safe-lifting-safety-talk/" TargetMode="External"/><Relationship Id="rId24" Type="http://schemas.openxmlformats.org/officeDocument/2006/relationships/hyperlink" Target="https://www.compsourcemutual.com/knowledge-center/tips-for-welding-safety/" TargetMode="External"/><Relationship Id="rId32" Type="http://schemas.openxmlformats.org/officeDocument/2006/relationships/hyperlink" Target="https://www.compsourcemutual.com/knowledge-center/hand-and-power-tool-guarding/" TargetMode="External"/><Relationship Id="rId37" Type="http://schemas.openxmlformats.org/officeDocument/2006/relationships/hyperlink" Target="https://compsource-mutual-training-library.safetysourceonline.com/video/confined-space-entry-ss1055he-10-mi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mpsourcemutual.com/resources/safety-library/portable-fire-extinguishers-safety-talk/" TargetMode="External"/><Relationship Id="rId23" Type="http://schemas.openxmlformats.org/officeDocument/2006/relationships/hyperlink" Target="https://compsource-mutual-training-library.safetysourceonline.com/video/crane-hand-signals-c0032ae/" TargetMode="External"/><Relationship Id="rId28" Type="http://schemas.openxmlformats.org/officeDocument/2006/relationships/hyperlink" Target="https://www.compsourcemutual.com/knowledge-center/hearing-conservation-2/" TargetMode="External"/><Relationship Id="rId36" Type="http://schemas.openxmlformats.org/officeDocument/2006/relationships/hyperlink" Target="https://www.compsourcemutual.com/knowledge-center/confined-space-2/" TargetMode="External"/><Relationship Id="rId10" Type="http://schemas.openxmlformats.org/officeDocument/2006/relationships/hyperlink" Target="https://www.compsourcemutual.com/resources/safety-library/lockout-tagout/" TargetMode="External"/><Relationship Id="rId19" Type="http://schemas.openxmlformats.org/officeDocument/2006/relationships/hyperlink" Target="https://www.compsourcemutual.com/knowledge-center/heat-stress-safety-talk-3/" TargetMode="External"/><Relationship Id="rId31" Type="http://schemas.openxmlformats.org/officeDocument/2006/relationships/hyperlink" Target="https://www.compsourcemutual.com/knowledge-center/hvac-machine-guard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source-mutual-training-library.safetysourceonline.com/video/lockouttagout-1036a-14-min-spanish/" TargetMode="External"/><Relationship Id="rId14" Type="http://schemas.openxmlformats.org/officeDocument/2006/relationships/hyperlink" Target="https://www.compsourcemutual.com/knowledge-center/emergency-planning-safety-talk/" TargetMode="External"/><Relationship Id="rId22" Type="http://schemas.openxmlformats.org/officeDocument/2006/relationships/hyperlink" Target="https://compsource-mutual-training-library.safetysourceonline.com/video/crane-safety-construction-environment-ssc0022s-15-min-spanish/" TargetMode="External"/><Relationship Id="rId27" Type="http://schemas.openxmlformats.org/officeDocument/2006/relationships/hyperlink" Target="https://www.compsourcemutual.com/knowledge-center/personal-protective-equipment-safety-talk/" TargetMode="External"/><Relationship Id="rId30" Type="http://schemas.openxmlformats.org/officeDocument/2006/relationships/hyperlink" Target="https://www.compsourcemutual.com/knowledge-center/hand-and-power-tools/" TargetMode="External"/><Relationship Id="rId35" Type="http://schemas.openxmlformats.org/officeDocument/2006/relationships/hyperlink" Target="https://www.compsourcemutual.com/knowledge-center/severe-weather-safety-talk-2/" TargetMode="External"/><Relationship Id="rId43" Type="http://schemas.openxmlformats.org/officeDocument/2006/relationships/fontTable" Target="fontTable.xml"/><Relationship Id="rId8" Type="http://schemas.openxmlformats.org/officeDocument/2006/relationships/hyperlink" Target="https://compsource-mutual-training-library.safetysourceonline.com/video/lockouttagout-procedures-1036a-14-min/" TargetMode="External"/><Relationship Id="rId3" Type="http://schemas.openxmlformats.org/officeDocument/2006/relationships/styles" Target="styles.xml"/><Relationship Id="rId12" Type="http://schemas.openxmlformats.org/officeDocument/2006/relationships/hyperlink" Target="https://www.compsourcemutual.com/knowledge-center/overhead-crane-and-hoist-safety-talk/" TargetMode="External"/><Relationship Id="rId17" Type="http://schemas.openxmlformats.org/officeDocument/2006/relationships/hyperlink" Target="https://www.compsourcemutual.com/resources/safety-library/fall-protection-ppt/" TargetMode="External"/><Relationship Id="rId25" Type="http://schemas.openxmlformats.org/officeDocument/2006/relationships/hyperlink" Target="https://compsource-mutual-training-library.safetysourceonline.com/video/welding-safety-the-basics/" TargetMode="External"/><Relationship Id="rId33" Type="http://schemas.openxmlformats.org/officeDocument/2006/relationships/hyperlink" Target="https://www.compsourcemutual.com/knowledge-center/cell-phone-use-while-driving-safety-talk/" TargetMode="External"/><Relationship Id="rId38" Type="http://schemas.openxmlformats.org/officeDocument/2006/relationships/hyperlink" Target="https://compsource-mutual-training-library.safetysourceonline.com/video/confined-space-entry-ss1055hs-10-min-spanish/"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Tucker Pawley</cp:lastModifiedBy>
  <cp:revision>19</cp:revision>
  <dcterms:created xsi:type="dcterms:W3CDTF">2022-10-27T16:31:00Z</dcterms:created>
  <dcterms:modified xsi:type="dcterms:W3CDTF">2022-10-27T16:52:00Z</dcterms:modified>
</cp:coreProperties>
</file>