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D2B2E" w:rsidP="63D77871" w:rsidRDefault="00121CB3" w14:paraId="3A84EABB" w14:textId="75F46BB8">
      <w:pPr>
        <w:pStyle w:val="Normal"/>
        <w:rPr>
          <w:b w:val="1"/>
          <w:bCs w:val="1"/>
          <w:sz w:val="48"/>
          <w:szCs w:val="48"/>
        </w:rPr>
      </w:pPr>
      <w:r w:rsidRPr="63D77871" w:rsidR="00121CB3">
        <w:rPr>
          <w:b w:val="1"/>
          <w:bCs w:val="1"/>
          <w:sz w:val="48"/>
          <w:szCs w:val="48"/>
        </w:rPr>
        <w:t xml:space="preserve">Importance of </w:t>
      </w:r>
      <w:r w:rsidRPr="63D77871" w:rsidR="137892DD">
        <w:rPr>
          <w:b w:val="1"/>
          <w:bCs w:val="1"/>
          <w:sz w:val="48"/>
          <w:szCs w:val="48"/>
        </w:rPr>
        <w:t>H</w:t>
      </w:r>
      <w:r w:rsidRPr="63D77871" w:rsidR="00121CB3">
        <w:rPr>
          <w:b w:val="1"/>
          <w:bCs w:val="1"/>
          <w:sz w:val="48"/>
          <w:szCs w:val="48"/>
        </w:rPr>
        <w:t xml:space="preserve">eavy </w:t>
      </w:r>
      <w:r w:rsidRPr="63D77871" w:rsidR="5592DF77">
        <w:rPr>
          <w:b w:val="1"/>
          <w:bCs w:val="1"/>
          <w:sz w:val="48"/>
          <w:szCs w:val="48"/>
        </w:rPr>
        <w:t>E</w:t>
      </w:r>
      <w:r w:rsidRPr="63D77871" w:rsidR="00121CB3">
        <w:rPr>
          <w:b w:val="1"/>
          <w:bCs w:val="1"/>
          <w:sz w:val="48"/>
          <w:szCs w:val="48"/>
        </w:rPr>
        <w:t xml:space="preserve">quipment </w:t>
      </w:r>
      <w:r w:rsidRPr="63D77871" w:rsidR="58AE4A62">
        <w:rPr>
          <w:b w:val="1"/>
          <w:bCs w:val="1"/>
          <w:sz w:val="48"/>
          <w:szCs w:val="48"/>
        </w:rPr>
        <w:t>S</w:t>
      </w:r>
      <w:r w:rsidRPr="63D77871" w:rsidR="00121CB3">
        <w:rPr>
          <w:b w:val="1"/>
          <w:bCs w:val="1"/>
          <w:sz w:val="48"/>
          <w:szCs w:val="48"/>
        </w:rPr>
        <w:t>afety</w:t>
      </w:r>
      <w:r w:rsidR="00121CB3">
        <w:drawing>
          <wp:anchor distT="0" distB="0" distL="114300" distR="114300" simplePos="0" relativeHeight="251658240" behindDoc="0" locked="0" layoutInCell="1" allowOverlap="1" wp14:editId="0FEE3EA8" wp14:anchorId="4C8F9AD4">
            <wp:simplePos x="0" y="0"/>
            <wp:positionH relativeFrom="column">
              <wp:align>right</wp:align>
            </wp:positionH>
            <wp:positionV relativeFrom="paragraph">
              <wp:posOffset>0</wp:posOffset>
            </wp:positionV>
            <wp:extent cx="3176588" cy="1932022"/>
            <wp:effectExtent l="0" t="0" r="0" b="0"/>
            <wp:wrapSquare wrapText="bothSides"/>
            <wp:docPr id="2026437348" name="" title=""/>
            <wp:cNvGraphicFramePr>
              <a:graphicFrameLocks noChangeAspect="1"/>
            </wp:cNvGraphicFramePr>
            <a:graphic>
              <a:graphicData uri="http://schemas.openxmlformats.org/drawingml/2006/picture">
                <pic:pic>
                  <pic:nvPicPr>
                    <pic:cNvPr id="0" name=""/>
                    <pic:cNvPicPr/>
                  </pic:nvPicPr>
                  <pic:blipFill>
                    <a:blip r:embed="R8c217a1c4791492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176588" cy="1932022"/>
                    </a:xfrm>
                    <a:prstGeom prst="rect">
                      <a:avLst/>
                    </a:prstGeom>
                  </pic:spPr>
                </pic:pic>
              </a:graphicData>
            </a:graphic>
            <wp14:sizeRelH relativeFrom="page">
              <wp14:pctWidth>0</wp14:pctWidth>
            </wp14:sizeRelH>
            <wp14:sizeRelV relativeFrom="page">
              <wp14:pctHeight>0</wp14:pctHeight>
            </wp14:sizeRelV>
          </wp:anchor>
        </w:drawing>
      </w:r>
      <w:r w:rsidRPr="63D77871" w:rsidR="00121CB3">
        <w:rPr>
          <w:b w:val="1"/>
          <w:bCs w:val="1"/>
          <w:sz w:val="48"/>
          <w:szCs w:val="48"/>
        </w:rPr>
        <w:t xml:space="preserve"> </w:t>
      </w:r>
    </w:p>
    <w:p w:rsidR="003444D0" w:rsidP="5F961488" w:rsidRDefault="003444D0" w14:paraId="5C1AFB4F" w14:textId="77777777">
      <w:pPr>
        <w:rPr>
          <w:sz w:val="22"/>
          <w:szCs w:val="22"/>
        </w:rPr>
      </w:pPr>
      <w:r w:rsidRPr="5F961488" w:rsidR="003444D0">
        <w:rPr>
          <w:sz w:val="22"/>
          <w:szCs w:val="22"/>
        </w:rPr>
        <w:t>The operator of heavy equipment and those who work around it face both power and danger. The size, weight, and complexity of heavy equipment make it dangerous. Working near heavy equipment requires the operator and coworkers to share safety responsibilities. It is possible to create hazardous situations by neither operating the equipment safely nor being around it safely. The equipment can cause severe and sometimes fatal injuries to workers if it strikes them or rolls over.</w:t>
      </w:r>
    </w:p>
    <w:p w:rsidRPr="002156AE" w:rsidR="002156AE" w:rsidP="5F961488" w:rsidRDefault="002156AE" w14:paraId="69CEB8EF" w14:textId="73173361">
      <w:pPr>
        <w:ind w:firstLine="360"/>
        <w:rPr>
          <w:sz w:val="22"/>
          <w:szCs w:val="22"/>
        </w:rPr>
      </w:pPr>
      <w:r w:rsidRPr="5F961488" w:rsidR="002156AE">
        <w:rPr>
          <w:sz w:val="22"/>
          <w:szCs w:val="22"/>
        </w:rPr>
        <w:t>Things to be aware of:</w:t>
      </w:r>
    </w:p>
    <w:p w:rsidRPr="003444D0" w:rsidR="003444D0" w:rsidP="5F961488" w:rsidRDefault="003444D0" w14:paraId="418E07B6" w14:textId="77777777">
      <w:pPr>
        <w:pStyle w:val="ListParagraph"/>
        <w:numPr>
          <w:ilvl w:val="0"/>
          <w:numId w:val="1"/>
        </w:numPr>
        <w:rPr>
          <w:rFonts w:cs="Calibri" w:cstheme="minorAscii"/>
          <w:sz w:val="22"/>
          <w:szCs w:val="22"/>
        </w:rPr>
      </w:pPr>
      <w:r w:rsidRPr="5F961488" w:rsidR="003444D0">
        <w:rPr>
          <w:rFonts w:cs="Calibri" w:cstheme="minorAscii"/>
          <w:sz w:val="22"/>
          <w:szCs w:val="22"/>
        </w:rPr>
        <w:t>Before an operation, inspect the equipment to ensure that all warning systems, including lights and audible alarms, are working correctly.</w:t>
      </w:r>
    </w:p>
    <w:p w:rsidRPr="003444D0" w:rsidR="003444D0" w:rsidP="5F961488" w:rsidRDefault="003444D0" w14:paraId="15C7C7CC" w14:textId="372948A3">
      <w:pPr>
        <w:pStyle w:val="ListParagraph"/>
        <w:numPr>
          <w:ilvl w:val="0"/>
          <w:numId w:val="1"/>
        </w:numPr>
        <w:rPr>
          <w:rFonts w:cs="Calibri" w:cstheme="minorAscii"/>
          <w:sz w:val="22"/>
          <w:szCs w:val="22"/>
        </w:rPr>
      </w:pPr>
      <w:r w:rsidRPr="5F961488" w:rsidR="003444D0">
        <w:rPr>
          <w:rFonts w:eastAsia="Times New Roman" w:cs="Calibri" w:cstheme="minorAscii"/>
          <w:color w:val="0E101A"/>
          <w:sz w:val="22"/>
          <w:szCs w:val="22"/>
        </w:rPr>
        <w:t>Ensure communication (hand signals, radios, air horns, audible alarms, etc.) is set up before work begins</w:t>
      </w:r>
      <w:r w:rsidRPr="5F961488" w:rsidR="08150928">
        <w:rPr>
          <w:rFonts w:eastAsia="Times New Roman" w:cs="Calibri" w:cstheme="minorAscii"/>
          <w:color w:val="0E101A"/>
          <w:sz w:val="22"/>
          <w:szCs w:val="22"/>
        </w:rPr>
        <w:t>.</w:t>
      </w:r>
    </w:p>
    <w:p w:rsidRPr="003444D0" w:rsidR="003444D0" w:rsidP="5F961488" w:rsidRDefault="003444D0" w14:paraId="300F0E43" w14:textId="77777777">
      <w:pPr>
        <w:pStyle w:val="ListParagraph"/>
        <w:numPr>
          <w:ilvl w:val="0"/>
          <w:numId w:val="1"/>
        </w:numPr>
        <w:rPr>
          <w:rFonts w:cs="Calibri" w:cstheme="minorAscii"/>
          <w:sz w:val="22"/>
          <w:szCs w:val="22"/>
        </w:rPr>
      </w:pPr>
      <w:r w:rsidRPr="5F961488" w:rsidR="003444D0">
        <w:rPr>
          <w:rFonts w:eastAsia="Times New Roman" w:cs="Calibri" w:cstheme="minorAscii"/>
          <w:color w:val="0E101A"/>
          <w:sz w:val="22"/>
          <w:szCs w:val="22"/>
        </w:rPr>
        <w:t>The worker, spotter, and operator should maintain a clear line of sight. </w:t>
      </w:r>
    </w:p>
    <w:p w:rsidRPr="003444D0" w:rsidR="003444D0" w:rsidP="5F961488" w:rsidRDefault="003444D0" w14:paraId="1EE5A5CA" w14:textId="0C6AD072">
      <w:pPr>
        <w:pStyle w:val="ListParagraph"/>
        <w:numPr>
          <w:ilvl w:val="0"/>
          <w:numId w:val="1"/>
        </w:numPr>
        <w:rPr>
          <w:rFonts w:cs="Calibri" w:cstheme="minorAscii"/>
          <w:sz w:val="22"/>
          <w:szCs w:val="22"/>
        </w:rPr>
      </w:pPr>
      <w:r w:rsidRPr="5F961488" w:rsidR="003444D0">
        <w:rPr>
          <w:rFonts w:eastAsia="Times New Roman" w:cs="Calibri" w:cstheme="minorAscii"/>
          <w:color w:val="0E101A"/>
          <w:sz w:val="22"/>
          <w:szCs w:val="22"/>
        </w:rPr>
        <w:t xml:space="preserve">It is common to have blind spots, which can </w:t>
      </w:r>
      <w:r w:rsidRPr="5F961488" w:rsidR="28C2968F">
        <w:rPr>
          <w:rFonts w:eastAsia="Times New Roman" w:cs="Calibri" w:cstheme="minorAscii"/>
          <w:color w:val="0E101A"/>
          <w:sz w:val="22"/>
          <w:szCs w:val="22"/>
        </w:rPr>
        <w:t xml:space="preserve">be eliminated by </w:t>
      </w:r>
      <w:r w:rsidRPr="5F961488" w:rsidR="003444D0">
        <w:rPr>
          <w:rFonts w:eastAsia="Times New Roman" w:cs="Calibri" w:cstheme="minorAscii"/>
          <w:color w:val="0E101A"/>
          <w:sz w:val="22"/>
          <w:szCs w:val="22"/>
        </w:rPr>
        <w:t>using mirrors and cameras.</w:t>
      </w:r>
    </w:p>
    <w:p w:rsidRPr="003444D0" w:rsidR="003444D0" w:rsidP="5F961488" w:rsidRDefault="003444D0" w14:paraId="442329A5" w14:textId="77777777">
      <w:pPr>
        <w:pStyle w:val="ListParagraph"/>
        <w:numPr>
          <w:ilvl w:val="0"/>
          <w:numId w:val="1"/>
        </w:numPr>
        <w:rPr>
          <w:rFonts w:cs="Calibri" w:cstheme="minorAscii"/>
          <w:sz w:val="22"/>
          <w:szCs w:val="22"/>
        </w:rPr>
      </w:pPr>
      <w:r w:rsidRPr="5F961488" w:rsidR="003444D0">
        <w:rPr>
          <w:rFonts w:eastAsia="Times New Roman" w:cs="Calibri" w:cstheme="minorAscii"/>
          <w:color w:val="0E101A"/>
          <w:sz w:val="22"/>
          <w:szCs w:val="22"/>
        </w:rPr>
        <w:t>Don't forget that if you can't see the operator, they can't see you.</w:t>
      </w:r>
    </w:p>
    <w:p w:rsidRPr="003444D0" w:rsidR="003444D0" w:rsidP="5F961488" w:rsidRDefault="003444D0" w14:paraId="15AD77A9" w14:textId="77777777">
      <w:pPr>
        <w:pStyle w:val="ListParagraph"/>
        <w:numPr>
          <w:ilvl w:val="0"/>
          <w:numId w:val="1"/>
        </w:numPr>
        <w:rPr>
          <w:rFonts w:cs="Calibri" w:cstheme="minorAscii"/>
          <w:sz w:val="22"/>
          <w:szCs w:val="22"/>
        </w:rPr>
      </w:pPr>
      <w:r w:rsidRPr="5F961488" w:rsidR="003444D0">
        <w:rPr>
          <w:rFonts w:eastAsia="Times New Roman" w:cs="Calibri" w:cstheme="minorAscii"/>
          <w:color w:val="0E101A"/>
          <w:sz w:val="22"/>
          <w:szCs w:val="22"/>
        </w:rPr>
        <w:t>When heavy equipment is in motion, use a spotter.</w:t>
      </w:r>
    </w:p>
    <w:p w:rsidRPr="003444D0" w:rsidR="003444D0" w:rsidP="5F961488" w:rsidRDefault="003444D0" w14:paraId="6463110D" w14:textId="77777777">
      <w:pPr>
        <w:pStyle w:val="ListParagraph"/>
        <w:numPr>
          <w:ilvl w:val="0"/>
          <w:numId w:val="1"/>
        </w:numPr>
        <w:rPr>
          <w:rFonts w:cs="Calibri" w:cstheme="minorAscii"/>
          <w:sz w:val="22"/>
          <w:szCs w:val="22"/>
        </w:rPr>
      </w:pPr>
      <w:r w:rsidRPr="5F961488" w:rsidR="003444D0">
        <w:rPr>
          <w:rFonts w:eastAsia="Times New Roman" w:cs="Calibri" w:cstheme="minorAscii"/>
          <w:color w:val="0E101A"/>
          <w:sz w:val="22"/>
          <w:szCs w:val="22"/>
        </w:rPr>
        <w:t>This requires communication between the operator and workers to maintain safe movement.</w:t>
      </w:r>
    </w:p>
    <w:p w:rsidRPr="003444D0" w:rsidR="003444D0" w:rsidP="5F961488" w:rsidRDefault="003444D0" w14:paraId="36E142A9" w14:textId="39787C8D">
      <w:pPr>
        <w:pStyle w:val="ListParagraph"/>
        <w:numPr>
          <w:ilvl w:val="0"/>
          <w:numId w:val="1"/>
        </w:numPr>
        <w:rPr>
          <w:rFonts w:cs="Calibri" w:cstheme="minorAscii"/>
          <w:sz w:val="22"/>
          <w:szCs w:val="22"/>
        </w:rPr>
      </w:pPr>
      <w:r w:rsidRPr="5F961488" w:rsidR="003444D0">
        <w:rPr>
          <w:rFonts w:eastAsia="Times New Roman" w:cs="Calibri" w:cstheme="minorAscii"/>
          <w:color w:val="0E101A"/>
          <w:sz w:val="22"/>
          <w:szCs w:val="22"/>
        </w:rPr>
        <w:t>If one loses contact (visibility or communication) with the spotter or someone close to the operational zone, the operator must cease all activities until contact is reestablished</w:t>
      </w:r>
      <w:r w:rsidRPr="5F961488" w:rsidR="554DAE04">
        <w:rPr>
          <w:rFonts w:eastAsia="Times New Roman" w:cs="Calibri" w:cstheme="minorAscii"/>
          <w:color w:val="0E101A"/>
          <w:sz w:val="22"/>
          <w:szCs w:val="22"/>
        </w:rPr>
        <w:t>.</w:t>
      </w:r>
    </w:p>
    <w:p w:rsidRPr="003444D0" w:rsidR="003444D0" w:rsidP="5F961488" w:rsidRDefault="003444D0" w14:paraId="73A6B0D0" w14:textId="77777777">
      <w:pPr>
        <w:pStyle w:val="ListParagraph"/>
        <w:numPr>
          <w:ilvl w:val="0"/>
          <w:numId w:val="1"/>
        </w:numPr>
        <w:rPr>
          <w:rFonts w:cs="Calibri" w:cstheme="minorAscii"/>
          <w:sz w:val="22"/>
          <w:szCs w:val="22"/>
        </w:rPr>
      </w:pPr>
      <w:r w:rsidRPr="5F961488" w:rsidR="003444D0">
        <w:rPr>
          <w:rFonts w:eastAsia="Times New Roman" w:cs="Calibri" w:cstheme="minorAscii"/>
          <w:color w:val="0E101A"/>
          <w:sz w:val="22"/>
          <w:szCs w:val="22"/>
        </w:rPr>
        <w:t>If possible, cordon off the area with barriers or caution tape if specific equipment has a wide swing radius.</w:t>
      </w:r>
    </w:p>
    <w:p w:rsidRPr="003444D0" w:rsidR="003444D0" w:rsidP="5F961488" w:rsidRDefault="003444D0" w14:paraId="1DAE9CF2" w14:textId="77777777">
      <w:pPr>
        <w:pStyle w:val="ListParagraph"/>
        <w:numPr>
          <w:ilvl w:val="0"/>
          <w:numId w:val="1"/>
        </w:numPr>
        <w:rPr>
          <w:rFonts w:cs="Calibri" w:cstheme="minorAscii"/>
          <w:sz w:val="22"/>
          <w:szCs w:val="22"/>
        </w:rPr>
      </w:pPr>
      <w:r w:rsidRPr="5F961488" w:rsidR="003444D0">
        <w:rPr>
          <w:rFonts w:eastAsia="Times New Roman" w:cs="Calibri" w:cstheme="minorAscii"/>
          <w:color w:val="0E101A"/>
          <w:sz w:val="22"/>
          <w:szCs w:val="22"/>
        </w:rPr>
        <w:t>There shall be no riders, only equipment designed to carry more than one person shall have more than one occupant.</w:t>
      </w:r>
    </w:p>
    <w:p w:rsidRPr="003444D0" w:rsidR="003444D0" w:rsidP="5F961488" w:rsidRDefault="003444D0" w14:paraId="2F78EF60" w14:textId="34B2A847">
      <w:pPr>
        <w:pStyle w:val="ListParagraph"/>
        <w:numPr>
          <w:ilvl w:val="0"/>
          <w:numId w:val="1"/>
        </w:numPr>
        <w:rPr>
          <w:rFonts w:cs="Calibri" w:cstheme="minorAscii"/>
          <w:sz w:val="22"/>
          <w:szCs w:val="22"/>
        </w:rPr>
      </w:pPr>
      <w:r w:rsidRPr="5F961488" w:rsidR="003444D0">
        <w:rPr>
          <w:rFonts w:eastAsia="Times New Roman" w:cs="Calibri" w:cstheme="minorAscii"/>
          <w:color w:val="0E101A"/>
          <w:sz w:val="22"/>
          <w:szCs w:val="22"/>
        </w:rPr>
        <w:t>Wear high visibility clothing for outer garments and the proper PPE</w:t>
      </w:r>
      <w:r w:rsidRPr="5F961488" w:rsidR="5D57B4F3">
        <w:rPr>
          <w:rFonts w:eastAsia="Times New Roman" w:cs="Calibri" w:cstheme="minorAscii"/>
          <w:color w:val="0E101A"/>
          <w:sz w:val="22"/>
          <w:szCs w:val="22"/>
        </w:rPr>
        <w:t>.</w:t>
      </w:r>
    </w:p>
    <w:p w:rsidRPr="003444D0" w:rsidR="003444D0" w:rsidP="5F961488" w:rsidRDefault="003444D0" w14:paraId="2C3A8C98" w14:textId="0F46F02F">
      <w:pPr>
        <w:pStyle w:val="ListParagraph"/>
        <w:numPr>
          <w:ilvl w:val="0"/>
          <w:numId w:val="1"/>
        </w:numPr>
        <w:rPr>
          <w:rFonts w:cs="Calibri" w:cstheme="minorAscii"/>
          <w:sz w:val="22"/>
          <w:szCs w:val="22"/>
        </w:rPr>
      </w:pPr>
      <w:r w:rsidRPr="5F961488" w:rsidR="003444D0">
        <w:rPr>
          <w:rFonts w:eastAsia="Times New Roman" w:cs="Calibri" w:cstheme="minorAscii"/>
          <w:color w:val="0E101A"/>
          <w:sz w:val="22"/>
          <w:szCs w:val="22"/>
        </w:rPr>
        <w:t>Ensure you are properly trained and approved before working under any suspended or overhead loads (i.e., connectors, etc.).</w:t>
      </w:r>
    </w:p>
    <w:p w:rsidRPr="002D2B2E" w:rsidR="002D2B2E" w:rsidP="002D2B2E" w:rsidRDefault="002D2B2E" w14:paraId="0A559299" w14:textId="77777777"/>
    <w:sectPr w:rsidRPr="002D2B2E" w:rsidR="002D2B2E">
      <w:pgSz w:w="12240" w:h="15840" w:orient="portrait"/>
      <w:pgMar w:top="1440" w:right="1440" w:bottom="1440" w:left="1440" w:header="720" w:footer="720" w:gutter="0"/>
      <w:cols w:space="720"/>
      <w:docGrid w:linePitch="360"/>
      <w:headerReference w:type="default" r:id="R38b337e843e74868"/>
      <w:footerReference w:type="default" r:id="Rc911c3241c5544c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9472" w:type="dxa"/>
      <w:tblLayout w:type="fixed"/>
      <w:tblLook w:val="06A0" w:firstRow="1" w:lastRow="0" w:firstColumn="1" w:lastColumn="0" w:noHBand="1" w:noVBand="1"/>
    </w:tblPr>
    <w:tblGrid>
      <w:gridCol w:w="9472"/>
    </w:tblGrid>
    <w:tr w:rsidR="11DDBE9B" w:rsidTr="413AAE49" w14:paraId="3BE16664">
      <w:tc>
        <w:tcPr>
          <w:tcW w:w="9472" w:type="dxa"/>
          <w:tcMar/>
        </w:tcPr>
        <w:p w:rsidR="11DDBE9B" w:rsidP="413AAE49" w:rsidRDefault="11DDBE9B" w14:paraId="780D0D2D" w14:textId="0799530B">
          <w:pPr>
            <w:pStyle w:val="Footer"/>
            <w:tabs>
              <w:tab w:val="center" w:leader="none" w:pos="4680"/>
              <w:tab w:val="right" w:leader="none" w:pos="9360"/>
            </w:tabs>
            <w:bidi w:val="0"/>
            <w:spacing w:after="0" w:line="240" w:lineRule="auto"/>
            <w:jc w:val="center"/>
            <w:rPr>
              <w:noProof w:val="0"/>
              <w:lang w:val="en-US"/>
            </w:rPr>
          </w:pPr>
          <w:r w:rsidRPr="413AAE49" w:rsidR="413AAE49">
            <w:rPr>
              <w:rFonts w:ascii="Calibri" w:hAnsi="Calibri" w:eastAsia="Calibri" w:cs="Calibri"/>
              <w:b w:val="0"/>
              <w:bCs w:val="0"/>
              <w:i w:val="0"/>
              <w:iCs w:val="0"/>
              <w:caps w:val="0"/>
              <w:smallCaps w:val="0"/>
              <w:noProof w:val="0"/>
              <w:color w:val="000000" w:themeColor="text1" w:themeTint="FF" w:themeShade="FF"/>
              <w:sz w:val="14"/>
              <w:szCs w:val="14"/>
              <w:lang w:val="en-US"/>
            </w:rPr>
            <w:t>This document is furnished by CompSource Mutual for informational purposes only. It is not intended to be a condition of coverage, nor should it be construed as legal advice.</w:t>
          </w:r>
        </w:p>
        <w:p w:rsidR="11DDBE9B" w:rsidP="11DDBE9B" w:rsidRDefault="11DDBE9B" w14:paraId="3A233515" w14:textId="70BBA7DD">
          <w:pPr>
            <w:pStyle w:val="Header"/>
            <w:bidi w:val="0"/>
            <w:ind w:left="-115"/>
            <w:jc w:val="left"/>
          </w:pPr>
        </w:p>
      </w:tc>
    </w:tr>
  </w:tbl>
  <w:p w:rsidR="11DDBE9B" w:rsidP="11DDBE9B" w:rsidRDefault="11DDBE9B" w14:paraId="5F43C6DB" w14:textId="1B5D7809">
    <w:pPr>
      <w:pStyle w:val="Footer"/>
      <w:bidi w:val="0"/>
    </w:pPr>
  </w:p>
</w:ftr>
</file>

<file path=word/header.xml><?xml version="1.0" encoding="utf-8"?>
<w:hdr xmlns:w14="http://schemas.microsoft.com/office/word/2010/wordml" xmlns:w="http://schemas.openxmlformats.org/wordprocessingml/2006/main"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w:tbl>
    <w:tblPr>
      <w:tblStyle w:val="TableNormal"/>
      <w:bidiVisual w:val="0"/>
      <w:tblW w:w="0" w:type="auto"/>
      <w:tblLayout w:type="fixed"/>
      <w:tblLook w:val="06A0" w:firstRow="1" w:lastRow="0" w:firstColumn="1" w:lastColumn="0" w:noHBand="1" w:noVBand="1"/>
    </w:tblPr>
    <w:tblGrid>
      <w:gridCol w:w="3120"/>
      <w:gridCol w:w="3120"/>
      <w:gridCol w:w="3120"/>
    </w:tblGrid>
    <w:tr w:rsidR="11DDBE9B" w:rsidTr="413AAE49" w14:paraId="76B16D7D">
      <w:tc>
        <w:tcPr>
          <w:tcW w:w="3120" w:type="dxa"/>
          <w:tcMar/>
        </w:tcPr>
        <w:p w:rsidR="11DDBE9B" w:rsidP="11DDBE9B" w:rsidRDefault="11DDBE9B" w14:paraId="01F49BEF" w14:textId="55848A45">
          <w:pPr>
            <w:pStyle w:val="Header"/>
            <w:bidi w:val="0"/>
            <w:ind w:left="-115"/>
            <w:jc w:val="left"/>
          </w:pPr>
        </w:p>
      </w:tc>
      <w:tc>
        <w:tcPr>
          <w:tcW w:w="3120" w:type="dxa"/>
          <w:tcMar/>
        </w:tcPr>
        <w:p w:rsidR="11DDBE9B" w:rsidP="11DDBE9B" w:rsidRDefault="11DDBE9B" w14:paraId="2CE56441" w14:textId="68D43C16">
          <w:pPr>
            <w:pStyle w:val="Header"/>
            <w:bidi w:val="0"/>
            <w:jc w:val="center"/>
          </w:pPr>
          <w:r w:rsidR="413AAE49">
            <w:drawing>
              <wp:inline wp14:editId="134D5B91" wp14:anchorId="662F9268">
                <wp:extent cx="1828800" cy="466725"/>
                <wp:effectExtent l="0" t="0" r="0" b="0"/>
                <wp:docPr id="1397464210" name="" title=""/>
                <wp:cNvGraphicFramePr>
                  <a:graphicFrameLocks noChangeAspect="1"/>
                </wp:cNvGraphicFramePr>
                <a:graphic>
                  <a:graphicData uri="http://schemas.openxmlformats.org/drawingml/2006/picture">
                    <pic:pic>
                      <pic:nvPicPr>
                        <pic:cNvPr id="0" name=""/>
                        <pic:cNvPicPr/>
                      </pic:nvPicPr>
                      <pic:blipFill>
                        <a:blip r:embed="R56f8aaf9482b432f">
                          <a:extLst>
                            <a:ext xmlns:a="http://schemas.openxmlformats.org/drawingml/2006/main" uri="{28A0092B-C50C-407E-A947-70E740481C1C}">
                              <a14:useLocalDpi val="0"/>
                            </a:ext>
                          </a:extLst>
                        </a:blip>
                        <a:stretch>
                          <a:fillRect/>
                        </a:stretch>
                      </pic:blipFill>
                      <pic:spPr>
                        <a:xfrm>
                          <a:off x="0" y="0"/>
                          <a:ext cx="1828800" cy="466725"/>
                        </a:xfrm>
                        <a:prstGeom prst="rect">
                          <a:avLst/>
                        </a:prstGeom>
                      </pic:spPr>
                    </pic:pic>
                  </a:graphicData>
                </a:graphic>
              </wp:inline>
            </w:drawing>
          </w:r>
          <w:r>
            <w:br/>
          </w:r>
        </w:p>
      </w:tc>
      <w:tc>
        <w:tcPr>
          <w:tcW w:w="3120" w:type="dxa"/>
          <w:tcMar/>
        </w:tcPr>
        <w:p w:rsidR="11DDBE9B" w:rsidP="11DDBE9B" w:rsidRDefault="11DDBE9B" w14:paraId="71141EAF" w14:textId="235EC92F">
          <w:pPr>
            <w:pStyle w:val="Header"/>
            <w:bidi w:val="0"/>
            <w:ind w:right="-115"/>
            <w:jc w:val="right"/>
          </w:pPr>
        </w:p>
      </w:tc>
    </w:tr>
  </w:tbl>
  <w:p w:rsidR="11DDBE9B" w:rsidP="11DDBE9B" w:rsidRDefault="11DDBE9B" w14:paraId="59D8CC99" w14:textId="01BAB2DD">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873BEC"/>
    <w:multiLevelType w:val="hybridMultilevel"/>
    <w:tmpl w:val="000C3A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62A35768"/>
    <w:multiLevelType w:val="multilevel"/>
    <w:tmpl w:val="D64CCB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755736579">
    <w:abstractNumId w:val="0"/>
  </w:num>
  <w:num w:numId="2" w16cid:durableId="17575106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CB3"/>
    <w:rsid w:val="00121CB3"/>
    <w:rsid w:val="002156AE"/>
    <w:rsid w:val="00217D66"/>
    <w:rsid w:val="002D2B2E"/>
    <w:rsid w:val="003444D0"/>
    <w:rsid w:val="00873BB1"/>
    <w:rsid w:val="009D3D57"/>
    <w:rsid w:val="08150928"/>
    <w:rsid w:val="0D452062"/>
    <w:rsid w:val="11CC1E22"/>
    <w:rsid w:val="11DDBE9B"/>
    <w:rsid w:val="137892DD"/>
    <w:rsid w:val="2082B1A6"/>
    <w:rsid w:val="21F3DF38"/>
    <w:rsid w:val="221E8207"/>
    <w:rsid w:val="23E408BF"/>
    <w:rsid w:val="27F52DA2"/>
    <w:rsid w:val="28C2968F"/>
    <w:rsid w:val="413AAE49"/>
    <w:rsid w:val="554DAE04"/>
    <w:rsid w:val="5592DF77"/>
    <w:rsid w:val="58AE4A62"/>
    <w:rsid w:val="5D57B4F3"/>
    <w:rsid w:val="5F961488"/>
    <w:rsid w:val="63D77871"/>
    <w:rsid w:val="74846ED2"/>
    <w:rsid w:val="7EA29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FDE71"/>
  <w15:chartTrackingRefBased/>
  <w15:docId w15:val="{A06EB1FF-3B5E-468C-AAFC-75C13799D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2156AE"/>
    <w:pPr>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94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 Type="http://schemas.openxmlformats.org/officeDocument/2006/relationships/header" Target="header.xml" Id="R38b337e843e74868" /><Relationship Type="http://schemas.openxmlformats.org/officeDocument/2006/relationships/footer" Target="footer.xml" Id="Rc911c3241c5544c4" /><Relationship Type="http://schemas.openxmlformats.org/officeDocument/2006/relationships/image" Target="/media/image2.jpg" Id="R8c217a1c4791492c" /></Relationships>
</file>

<file path=word/_rels/header.xml.rels>&#65279;<?xml version="1.0" encoding="utf-8"?><Relationships xmlns="http://schemas.openxmlformats.org/package/2006/relationships"><Relationship Type="http://schemas.openxmlformats.org/officeDocument/2006/relationships/image" Target="/media/image.jpg" Id="R56f8aaf9482b432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CompSource Mutual Insurance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Tucker Pawley</dc:creator>
  <keywords/>
  <dc:description/>
  <lastModifiedBy>Tucker Pawley</lastModifiedBy>
  <revision>6</revision>
  <dcterms:created xsi:type="dcterms:W3CDTF">2022-08-25T16:21:00.0000000Z</dcterms:created>
  <dcterms:modified xsi:type="dcterms:W3CDTF">2022-09-22T14:19:27.9155909Z</dcterms:modified>
</coreProperties>
</file>