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2BA21164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92A">
        <w:rPr>
          <w:rFonts w:ascii="futura-pt" w:hAnsi="futura-pt"/>
          <w:b w:val="0"/>
          <w:bCs w:val="0"/>
          <w:color w:val="00263A"/>
        </w:rPr>
        <w:t xml:space="preserve"> </w:t>
      </w:r>
      <w:r w:rsidR="004423F5">
        <w:rPr>
          <w:rFonts w:ascii="futura-pt" w:hAnsi="futura-pt"/>
          <w:b w:val="0"/>
          <w:bCs w:val="0"/>
          <w:color w:val="00263A"/>
        </w:rPr>
        <w:t xml:space="preserve">knives </w:t>
      </w:r>
      <w:r w:rsidR="00E6492A">
        <w:rPr>
          <w:rFonts w:ascii="futura-pt" w:hAnsi="futura-pt"/>
          <w:b w:val="0"/>
          <w:bCs w:val="0"/>
          <w:color w:val="00263A"/>
        </w:rPr>
        <w:t>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79F47A9B" w14:textId="77777777" w:rsidR="004423F5" w:rsidRPr="00C31A23" w:rsidRDefault="004423F5" w:rsidP="004423F5">
      <w:pPr>
        <w:shd w:val="clear" w:color="auto" w:fill="FFFFFF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Retail store</w:t>
      </w:r>
      <w:r w:rsidRPr="00C31A23">
        <w:rPr>
          <w:rFonts w:eastAsia="Times New Roman" w:cs="Arial"/>
          <w:color w:val="333333"/>
        </w:rPr>
        <w:t xml:space="preserve"> employees occasionally use knives to perform various tasks, such as openi</w:t>
      </w:r>
      <w:r>
        <w:rPr>
          <w:rFonts w:eastAsia="Times New Roman" w:cs="Arial"/>
          <w:color w:val="333333"/>
        </w:rPr>
        <w:t>ng boxes during stocking and preparing foods</w:t>
      </w:r>
      <w:r w:rsidRPr="00C31A23">
        <w:rPr>
          <w:rFonts w:eastAsia="Times New Roman" w:cs="Arial"/>
          <w:color w:val="333333"/>
        </w:rPr>
        <w:t xml:space="preserve">. Learning the following safe knife practices will help prevent cuts and lacerations. </w:t>
      </w:r>
    </w:p>
    <w:p w14:paraId="33108E89" w14:textId="77777777" w:rsidR="004423F5" w:rsidRPr="00C31A23" w:rsidRDefault="004423F5" w:rsidP="004423F5">
      <w:pPr>
        <w:shd w:val="clear" w:color="auto" w:fill="FFFFFF"/>
        <w:rPr>
          <w:rFonts w:eastAsia="Times New Roman" w:cs="Arial"/>
          <w:color w:val="333333"/>
        </w:rPr>
      </w:pPr>
    </w:p>
    <w:p w14:paraId="1D38EBEC" w14:textId="07F573BC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Handle</w:t>
      </w:r>
      <w:r>
        <w:rPr>
          <w:rFonts w:eastAsia="Times New Roman" w:cs="Arial"/>
          <w:color w:val="333333"/>
        </w:rPr>
        <w:t>,</w:t>
      </w:r>
      <w:r w:rsidRPr="004423F5">
        <w:rPr>
          <w:rFonts w:eastAsia="Times New Roman" w:cs="Arial"/>
          <w:color w:val="333333"/>
        </w:rPr>
        <w:t xml:space="preserve"> use</w:t>
      </w:r>
      <w:r>
        <w:rPr>
          <w:rFonts w:eastAsia="Times New Roman" w:cs="Arial"/>
          <w:color w:val="333333"/>
        </w:rPr>
        <w:t>,</w:t>
      </w:r>
      <w:r w:rsidRPr="004423F5">
        <w:rPr>
          <w:rFonts w:eastAsia="Times New Roman" w:cs="Arial"/>
          <w:color w:val="333333"/>
        </w:rPr>
        <w:t xml:space="preserve"> and store knives and other sharp utensils safely.</w:t>
      </w:r>
    </w:p>
    <w:p w14:paraId="2BBF8185" w14:textId="0572C442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Cut in the direction away from the body.</w:t>
      </w:r>
    </w:p>
    <w:p w14:paraId="6CD89B6A" w14:textId="1EDFCC34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Keep your fingers and thumbs out of the way of the cutting line.</w:t>
      </w:r>
    </w:p>
    <w:p w14:paraId="4CCF1204" w14:textId="0AA9B186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Use any protective clothing provided by employer such as steel mesh or Kevlar gloves.</w:t>
      </w:r>
    </w:p>
    <w:p w14:paraId="3EF2FB7F" w14:textId="2B0C11DC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Use a knife only for its intended purpose and use the appropriate knife for the cutting job.</w:t>
      </w:r>
    </w:p>
    <w:p w14:paraId="0AA6FB06" w14:textId="0915F6E6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Store knives in a designated storage area when not in use. Do not store the blades with the cutting edge exposed.</w:t>
      </w:r>
    </w:p>
    <w:p w14:paraId="42F8DE63" w14:textId="4F792C0C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 xml:space="preserve">Install knife holders on </w:t>
      </w:r>
      <w:r w:rsidRPr="004423F5">
        <w:rPr>
          <w:rFonts w:eastAsia="Times New Roman" w:cs="Arial"/>
          <w:color w:val="333333"/>
        </w:rPr>
        <w:t>worktables</w:t>
      </w:r>
      <w:r w:rsidRPr="004423F5">
        <w:rPr>
          <w:rFonts w:eastAsia="Times New Roman" w:cs="Arial"/>
          <w:color w:val="333333"/>
        </w:rPr>
        <w:t xml:space="preserve"> to prevent worker injury.</w:t>
      </w:r>
    </w:p>
    <w:p w14:paraId="60784132" w14:textId="5CCB1C75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 xml:space="preserve">Equip newly purchased knives with blade guards or knuckle guards that protect the hand from slipping onto the blade. </w:t>
      </w:r>
    </w:p>
    <w:p w14:paraId="006A1514" w14:textId="770FA81D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Let a falling knife fall. Do not try to catch it.</w:t>
      </w:r>
    </w:p>
    <w:p w14:paraId="00B741B0" w14:textId="2EB16B27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 xml:space="preserve">Carry knives with the cutting edge angled slightly away from your body, with the tip pointed down to your side. </w:t>
      </w:r>
    </w:p>
    <w:p w14:paraId="115FB0DE" w14:textId="67689281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Place a knife you are handing to someone down on a clean surface and let the other person pick it up.</w:t>
      </w:r>
    </w:p>
    <w:p w14:paraId="1F10EEE8" w14:textId="31C948D0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 xml:space="preserve">Clean the knife immediately after use or place it in a dishwasher or a container labeled "for knives only." </w:t>
      </w:r>
    </w:p>
    <w:p w14:paraId="67A9F296" w14:textId="11FB2743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 xml:space="preserve">Do not store knives and other sharp objects in sinks between periods of use. </w:t>
      </w:r>
    </w:p>
    <w:p w14:paraId="7DCC64CE" w14:textId="6B1DE4B1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Do not touch knife blades.</w:t>
      </w:r>
    </w:p>
    <w:p w14:paraId="2544222E" w14:textId="74DB52B5" w:rsidR="004423F5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Avoid placing knives near the edge of a countertop.</w:t>
      </w:r>
    </w:p>
    <w:p w14:paraId="475E21DC" w14:textId="1D00E610" w:rsidR="001B4850" w:rsidRPr="004423F5" w:rsidRDefault="004423F5" w:rsidP="004423F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Arial"/>
          <w:color w:val="333333"/>
        </w:rPr>
      </w:pPr>
      <w:r w:rsidRPr="004423F5">
        <w:rPr>
          <w:rFonts w:eastAsia="Times New Roman" w:cs="Arial"/>
          <w:color w:val="333333"/>
        </w:rPr>
        <w:t>Do not talk with coworkers or customers while using a knife. When interrupted, stop cutting and place the knife down on a secure surface. Do not try to cut while distracted.</w:t>
      </w:r>
      <w:r w:rsidR="0006613B"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4423F5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4"/>
  </w:num>
  <w:num w:numId="5">
    <w:abstractNumId w:val="19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20"/>
  </w:num>
  <w:num w:numId="18">
    <w:abstractNumId w:val="16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819C4"/>
    <w:rsid w:val="00CA4469"/>
    <w:rsid w:val="00CB05BD"/>
    <w:rsid w:val="00CE0B3B"/>
    <w:rsid w:val="00CF5140"/>
    <w:rsid w:val="00D8589E"/>
    <w:rsid w:val="00DE428E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2021-04-07T16:11:00Z</dcterms:created>
  <dcterms:modified xsi:type="dcterms:W3CDTF">2021-04-07T16:11:00Z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