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83AC6" w14:textId="3EEEF0DF" w:rsidR="00204695" w:rsidRPr="00E97C1E" w:rsidRDefault="00CA4469" w:rsidP="00E97C1E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60DDAC9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995920" cy="1841500"/>
            <wp:effectExtent l="0" t="0" r="5080" b="6350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C1E">
        <w:rPr>
          <w:rFonts w:ascii="futura-pt" w:hAnsi="futura-pt"/>
          <w:b w:val="0"/>
          <w:bCs w:val="0"/>
          <w:color w:val="00263A"/>
        </w:rPr>
        <w:t>welding safety</w:t>
      </w:r>
    </w:p>
    <w:p w14:paraId="06F50138" w14:textId="750ED358" w:rsidR="00E97C1E" w:rsidRPr="00E97C1E" w:rsidRDefault="00E97C1E" w:rsidP="00E97C1E">
      <w:pPr>
        <w:shd w:val="clear" w:color="auto" w:fill="FFFFFF"/>
        <w:spacing w:before="100" w:beforeAutospacing="1" w:after="360"/>
        <w:rPr>
          <w:rFonts w:ascii="Calibri" w:eastAsia="Times New Roman" w:hAnsi="Calibri" w:cs="Calibri"/>
          <w:color w:val="222A35" w:themeColor="text2" w:themeShade="80"/>
          <w:sz w:val="22"/>
          <w:szCs w:val="22"/>
        </w:rPr>
      </w:pP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The potential for injury while welding is significant and can include burns, exposure to fumes and light and</w:t>
      </w: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br/>
        <w:t>heat radiation.</w:t>
      </w:r>
    </w:p>
    <w:p w14:paraId="003C72CD" w14:textId="77777777" w:rsidR="00E97C1E" w:rsidRPr="00E97C1E" w:rsidRDefault="00E97C1E" w:rsidP="00E97C1E">
      <w:pPr>
        <w:shd w:val="clear" w:color="auto" w:fill="FFFFFF"/>
        <w:spacing w:before="100" w:beforeAutospacing="1" w:after="360"/>
        <w:rPr>
          <w:rFonts w:ascii="Calibri" w:eastAsia="Times New Roman" w:hAnsi="Calibri" w:cs="Calibri"/>
          <w:i/>
          <w:iCs/>
          <w:color w:val="222A35" w:themeColor="text2" w:themeShade="80"/>
          <w:sz w:val="22"/>
          <w:szCs w:val="22"/>
        </w:rPr>
      </w:pPr>
      <w:r w:rsidRPr="00E97C1E">
        <w:rPr>
          <w:rFonts w:ascii="Calibri" w:eastAsia="Times New Roman" w:hAnsi="Calibri" w:cs="Calibri"/>
          <w:i/>
          <w:iCs/>
          <w:color w:val="222A35" w:themeColor="text2" w:themeShade="80"/>
          <w:sz w:val="22"/>
          <w:szCs w:val="22"/>
        </w:rPr>
        <w:t>While not an exhaustive list, the tips below help to reduce the potential for a workplace</w:t>
      </w:r>
      <w:r w:rsidRPr="00E97C1E">
        <w:rPr>
          <w:rFonts w:ascii="Calibri" w:eastAsia="Times New Roman" w:hAnsi="Calibri" w:cs="Calibri"/>
          <w:i/>
          <w:iCs/>
          <w:color w:val="222A35" w:themeColor="text2" w:themeShade="80"/>
          <w:sz w:val="22"/>
          <w:szCs w:val="22"/>
        </w:rPr>
        <w:br/>
        <w:t>accident when welding:</w:t>
      </w:r>
    </w:p>
    <w:p w14:paraId="2A0CD174" w14:textId="595B7B22" w:rsidR="00E97C1E" w:rsidRPr="00E97C1E" w:rsidRDefault="00E97C1E" w:rsidP="00E97C1E">
      <w:pPr>
        <w:shd w:val="clear" w:color="auto" w:fill="FFFFFF"/>
        <w:spacing w:before="100" w:beforeAutospacing="1" w:after="360"/>
        <w:rPr>
          <w:rFonts w:ascii="Calibri" w:eastAsia="Times New Roman" w:hAnsi="Calibri" w:cs="Calibri"/>
          <w:color w:val="222A35" w:themeColor="text2" w:themeShade="80"/>
          <w:sz w:val="22"/>
          <w:szCs w:val="22"/>
        </w:rPr>
      </w:pP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• Inspect all equipment prior to use (torches, electrical components, regulators, etc.)</w:t>
      </w: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br/>
        <w:t>• Flammable an</w:t>
      </w:r>
      <w:r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d</w:t>
      </w: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combustible materials should not be stored within 50 feet of welding area</w:t>
      </w: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br/>
        <w:t>• Sufficient local exhaust and ventilation should be provided to remove welding and hot work fumes</w:t>
      </w: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br/>
        <w:t>• When ventilation is insufficient to control the respiratory hazard, proper respiratory protection should be used</w:t>
      </w: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br/>
        <w:t>• Welding screens are used to protect nearby workers from the flash glare of welding operations or from sparks generated from cutting operations</w:t>
      </w: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br/>
        <w:t>• Firefighting equipment should be readily available nearby</w:t>
      </w:r>
    </w:p>
    <w:p w14:paraId="7DD21D99" w14:textId="258FA4CA" w:rsidR="00E97C1E" w:rsidRPr="00E97C1E" w:rsidRDefault="00E97C1E" w:rsidP="00E97C1E">
      <w:pPr>
        <w:shd w:val="clear" w:color="auto" w:fill="FFFFFF"/>
        <w:rPr>
          <w:rFonts w:ascii="Calibri" w:eastAsia="Times New Roman" w:hAnsi="Calibri" w:cs="Calibri"/>
          <w:i/>
          <w:iCs/>
          <w:color w:val="222A35" w:themeColor="text2" w:themeShade="80"/>
          <w:sz w:val="22"/>
          <w:szCs w:val="22"/>
        </w:rPr>
      </w:pPr>
      <w:r>
        <w:rPr>
          <w:rFonts w:ascii="Calibri" w:eastAsia="Times New Roman" w:hAnsi="Calibri" w:cs="Calibri"/>
          <w:noProof/>
          <w:color w:val="222A35" w:themeColor="text2" w:themeShade="80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56725DFE" wp14:editId="435E2419">
            <wp:simplePos x="0" y="0"/>
            <wp:positionH relativeFrom="column">
              <wp:posOffset>3486150</wp:posOffset>
            </wp:positionH>
            <wp:positionV relativeFrom="paragraph">
              <wp:posOffset>5398</wp:posOffset>
            </wp:positionV>
            <wp:extent cx="2861945" cy="3479165"/>
            <wp:effectExtent l="0" t="0" r="0" b="6985"/>
            <wp:wrapTight wrapText="bothSides">
              <wp:wrapPolygon edited="0">
                <wp:start x="575" y="0"/>
                <wp:lineTo x="0" y="237"/>
                <wp:lineTo x="0" y="21407"/>
                <wp:lineTo x="575" y="21525"/>
                <wp:lineTo x="20848" y="21525"/>
                <wp:lineTo x="21423" y="21407"/>
                <wp:lineTo x="21423" y="237"/>
                <wp:lineTo x="20848" y="0"/>
                <wp:lineTo x="57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47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C1E">
        <w:rPr>
          <w:rFonts w:ascii="Calibri" w:eastAsia="Times New Roman" w:hAnsi="Calibri" w:cs="Calibri"/>
          <w:i/>
          <w:iCs/>
          <w:color w:val="222A35" w:themeColor="text2" w:themeShade="80"/>
          <w:sz w:val="22"/>
          <w:szCs w:val="22"/>
        </w:rPr>
        <w:t>Personal protective equipment should include:</w:t>
      </w:r>
    </w:p>
    <w:p w14:paraId="48CC24B6" w14:textId="298E585D" w:rsidR="00E97C1E" w:rsidRPr="00E97C1E" w:rsidRDefault="00E97C1E" w:rsidP="00E97C1E">
      <w:pPr>
        <w:shd w:val="clear" w:color="auto" w:fill="FFFFFF"/>
        <w:rPr>
          <w:rFonts w:ascii="Calibri" w:eastAsia="Times New Roman" w:hAnsi="Calibri" w:cs="Calibri"/>
          <w:i/>
          <w:iCs/>
          <w:color w:val="222A35" w:themeColor="text2" w:themeShade="80"/>
          <w:sz w:val="22"/>
          <w:szCs w:val="22"/>
        </w:rPr>
      </w:pP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br/>
        <w:t>• Welding hood and gloves</w:t>
      </w: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br/>
        <w:t>• Clothing made from wool or wool blends rather than cotton</w:t>
      </w: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br/>
        <w:t xml:space="preserve">• Leather cape, </w:t>
      </w:r>
      <w:proofErr w:type="gramStart"/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jacket</w:t>
      </w:r>
      <w:proofErr w:type="gramEnd"/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or apron</w:t>
      </w:r>
      <w:r w:rsidRPr="00E97C1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br/>
        <w:t>• Dark clothing to help reduce reflected light</w:t>
      </w:r>
    </w:p>
    <w:p w14:paraId="603433C3" w14:textId="3E81E741" w:rsidR="00394FD8" w:rsidRDefault="00394FD8" w:rsidP="00204695"/>
    <w:p w14:paraId="475E21DC" w14:textId="52E0B5D2" w:rsidR="001B4850" w:rsidRPr="0010412C" w:rsidRDefault="0006613B" w:rsidP="00CE0B3B">
      <w:pPr>
        <w:rPr>
          <w:rFonts w:ascii="Calibri" w:eastAsia="Times New Roman" w:hAnsi="Calibri" w:cs="Calibri"/>
        </w:rPr>
      </w:pPr>
      <w:r w:rsidRPr="0010412C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F2085FC" wp14:editId="6C14C177">
            <wp:simplePos x="0" y="0"/>
            <wp:positionH relativeFrom="column">
              <wp:posOffset>-704532</wp:posOffset>
            </wp:positionH>
            <wp:positionV relativeFrom="page">
              <wp:posOffset>9377680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4850" w:rsidRPr="0010412C" w:rsidSect="001730F4">
      <w:footerReference w:type="default" r:id="rId14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FDDBC" w14:textId="77777777" w:rsidR="00355DB1" w:rsidRDefault="00355DB1" w:rsidP="00817D2B">
      <w:r>
        <w:separator/>
      </w:r>
    </w:p>
  </w:endnote>
  <w:endnote w:type="continuationSeparator" w:id="0">
    <w:p w14:paraId="36EC7497" w14:textId="77777777" w:rsidR="00355DB1" w:rsidRDefault="00355DB1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futura-pt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 xml:space="preserve">This document is furnished by </w:t>
    </w:r>
    <w:proofErr w:type="spellStart"/>
    <w:r w:rsidRPr="000F3D3B">
      <w:rPr>
        <w:sz w:val="14"/>
        <w:szCs w:val="14"/>
      </w:rPr>
      <w:t>CompSource</w:t>
    </w:r>
    <w:proofErr w:type="spellEnd"/>
    <w:r w:rsidRPr="000F3D3B">
      <w:rPr>
        <w:sz w:val="14"/>
        <w:szCs w:val="14"/>
      </w:rPr>
      <w:t xml:space="preserve">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D8FF8" w14:textId="77777777" w:rsidR="00355DB1" w:rsidRDefault="00355DB1" w:rsidP="00817D2B">
      <w:r>
        <w:separator/>
      </w:r>
    </w:p>
  </w:footnote>
  <w:footnote w:type="continuationSeparator" w:id="0">
    <w:p w14:paraId="776A3024" w14:textId="77777777" w:rsidR="00355DB1" w:rsidRDefault="00355DB1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B1F01"/>
    <w:multiLevelType w:val="hybridMultilevel"/>
    <w:tmpl w:val="ABD820CC"/>
    <w:lvl w:ilvl="0" w:tplc="6B369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61933"/>
    <w:multiLevelType w:val="hybridMultilevel"/>
    <w:tmpl w:val="D160FEB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2BD010EB"/>
    <w:multiLevelType w:val="hybridMultilevel"/>
    <w:tmpl w:val="3540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F1ACB"/>
    <w:multiLevelType w:val="hybridMultilevel"/>
    <w:tmpl w:val="447216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0" w15:restartNumberingAfterBreak="0">
    <w:nsid w:val="56E309D6"/>
    <w:multiLevelType w:val="hybridMultilevel"/>
    <w:tmpl w:val="2D72C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87464"/>
    <w:multiLevelType w:val="hybridMultilevel"/>
    <w:tmpl w:val="8878E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9"/>
  </w:num>
  <w:num w:numId="5">
    <w:abstractNumId w:val="13"/>
  </w:num>
  <w:num w:numId="6">
    <w:abstractNumId w:val="2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  <w:num w:numId="11">
    <w:abstractNumId w:val="10"/>
  </w:num>
  <w:num w:numId="12">
    <w:abstractNumId w:val="12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4031"/>
    <w:rsid w:val="0006613B"/>
    <w:rsid w:val="000D284E"/>
    <w:rsid w:val="000F3D3B"/>
    <w:rsid w:val="0010412C"/>
    <w:rsid w:val="00144421"/>
    <w:rsid w:val="001730F4"/>
    <w:rsid w:val="00187E74"/>
    <w:rsid w:val="001B4850"/>
    <w:rsid w:val="001C594A"/>
    <w:rsid w:val="00204695"/>
    <w:rsid w:val="00230F2D"/>
    <w:rsid w:val="002562B9"/>
    <w:rsid w:val="00265008"/>
    <w:rsid w:val="002F213B"/>
    <w:rsid w:val="00355DB1"/>
    <w:rsid w:val="00372264"/>
    <w:rsid w:val="00394FD8"/>
    <w:rsid w:val="003A3910"/>
    <w:rsid w:val="00430324"/>
    <w:rsid w:val="00474310"/>
    <w:rsid w:val="005064B6"/>
    <w:rsid w:val="00506D5D"/>
    <w:rsid w:val="00507856"/>
    <w:rsid w:val="006D14EB"/>
    <w:rsid w:val="006D22A1"/>
    <w:rsid w:val="00715AFA"/>
    <w:rsid w:val="00720873"/>
    <w:rsid w:val="00740798"/>
    <w:rsid w:val="00817D2B"/>
    <w:rsid w:val="008B0F31"/>
    <w:rsid w:val="008D7EE7"/>
    <w:rsid w:val="008E1525"/>
    <w:rsid w:val="00900DE9"/>
    <w:rsid w:val="00997A28"/>
    <w:rsid w:val="009D2E12"/>
    <w:rsid w:val="00A73F24"/>
    <w:rsid w:val="00AC119A"/>
    <w:rsid w:val="00AF1BEE"/>
    <w:rsid w:val="00AF2B10"/>
    <w:rsid w:val="00B267E4"/>
    <w:rsid w:val="00CA4469"/>
    <w:rsid w:val="00CB05BD"/>
    <w:rsid w:val="00CE0B3B"/>
    <w:rsid w:val="00CF5140"/>
    <w:rsid w:val="00DE428E"/>
    <w:rsid w:val="00DE5688"/>
    <w:rsid w:val="00E02658"/>
    <w:rsid w:val="00E96F35"/>
    <w:rsid w:val="00E97C1E"/>
    <w:rsid w:val="00EA3C43"/>
    <w:rsid w:val="00EB7A1F"/>
    <w:rsid w:val="00EC4BDB"/>
    <w:rsid w:val="00EF1B67"/>
    <w:rsid w:val="00EF4BE2"/>
    <w:rsid w:val="00F5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DE6A64-FBA8-4773-A001-2CEC5EB9ECD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002ed0-3bc2-4580-9f49-3b03d3a8e4b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CBFEE0-7FFB-4778-898C-BCA41C4DA1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2</cp:revision>
  <cp:lastPrinted>2020-06-02T19:56:00Z</cp:lastPrinted>
  <dcterms:created xsi:type="dcterms:W3CDTF">2021-05-26T19:32:00Z</dcterms:created>
  <dcterms:modified xsi:type="dcterms:W3CDTF">2021-05-26T19:32:00Z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