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354DB371"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F36B3">
        <w:rPr>
          <w:rFonts w:ascii="futura-pt" w:hAnsi="futura-pt"/>
          <w:b w:val="0"/>
          <w:bCs w:val="0"/>
          <w:color w:val="00263A"/>
        </w:rPr>
        <w:t>Agrichemical safety</w:t>
      </w:r>
    </w:p>
    <w:p w14:paraId="106C8752" w14:textId="6399C776" w:rsidR="002F36B3" w:rsidRPr="002F36B3" w:rsidRDefault="0006613B" w:rsidP="002F36B3">
      <w:pPr>
        <w:pStyle w:val="NormalWeb"/>
        <w:rPr>
          <w:rFonts w:ascii="Calibri" w:hAnsi="Calibri" w:cs="Calibri"/>
        </w:rPr>
      </w:pPr>
      <w:r w:rsidRPr="002F36B3">
        <w:rPr>
          <w:rFonts w:ascii="Calibri" w:hAnsi="Calibri" w:cs="Calibri"/>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2F36B3" w:rsidRPr="002F36B3">
        <w:rPr>
          <w:rFonts w:ascii="Calibri" w:hAnsi="Calibri" w:cs="Calibri"/>
        </w:rPr>
        <w:t xml:space="preserve">Most farmers know to be careful with chemicals because they may be </w:t>
      </w:r>
      <w:r w:rsidR="002F36B3" w:rsidRPr="002F36B3">
        <w:rPr>
          <w:rFonts w:ascii="Calibri" w:hAnsi="Calibri" w:cs="Calibri"/>
        </w:rPr>
        <w:t>harmful but</w:t>
      </w:r>
      <w:r w:rsidR="002F36B3" w:rsidRPr="002F36B3">
        <w:rPr>
          <w:rFonts w:ascii="Calibri" w:hAnsi="Calibri" w:cs="Calibri"/>
        </w:rPr>
        <w:t xml:space="preserve"> taking extra time to learn how to properly use, store, transport and dispose of the chemicals they use can prevent unintended injury or illness. </w:t>
      </w:r>
      <w:r w:rsidR="002F36B3" w:rsidRPr="002F36B3">
        <w:rPr>
          <w:rFonts w:ascii="Calibri" w:hAnsi="Calibri" w:cs="Calibri"/>
        </w:rPr>
        <w:t>Common agrichemicals</w:t>
      </w:r>
      <w:r w:rsidR="002F36B3" w:rsidRPr="002F36B3">
        <w:rPr>
          <w:rFonts w:ascii="Calibri" w:hAnsi="Calibri" w:cs="Calibri"/>
        </w:rPr>
        <w:t xml:space="preserve"> include fuels, lubricants, pesticides, </w:t>
      </w:r>
      <w:proofErr w:type="gramStart"/>
      <w:r w:rsidR="002F36B3" w:rsidRPr="002F36B3">
        <w:rPr>
          <w:rFonts w:ascii="Calibri" w:hAnsi="Calibri" w:cs="Calibri"/>
        </w:rPr>
        <w:t>herbicides</w:t>
      </w:r>
      <w:proofErr w:type="gramEnd"/>
      <w:r w:rsidR="002F36B3" w:rsidRPr="002F36B3">
        <w:rPr>
          <w:rFonts w:ascii="Calibri" w:hAnsi="Calibri" w:cs="Calibri"/>
        </w:rPr>
        <w:t xml:space="preserve"> and veterinary chemicals. Any compound should be treated with caution and used strictly according to manufacturer guidelines. Chemical exposure can lead to acute and chronic health effects. Such health effects may include organ damage, nervous system damage, cancer, birth defects, etc.</w:t>
      </w:r>
    </w:p>
    <w:p w14:paraId="2E901946" w14:textId="77777777" w:rsidR="002F36B3" w:rsidRPr="002F36B3" w:rsidRDefault="002F36B3" w:rsidP="002F36B3">
      <w:pPr>
        <w:spacing w:before="100" w:beforeAutospacing="1" w:after="100" w:afterAutospacing="1"/>
        <w:rPr>
          <w:rFonts w:ascii="Calibri" w:eastAsia="Times New Roman" w:hAnsi="Calibri" w:cs="Calibri"/>
          <w:i/>
          <w:iCs/>
        </w:rPr>
      </w:pPr>
      <w:r w:rsidRPr="002F36B3">
        <w:rPr>
          <w:rFonts w:ascii="Calibri" w:eastAsia="Times New Roman" w:hAnsi="Calibri" w:cs="Calibri"/>
          <w:i/>
          <w:iCs/>
        </w:rPr>
        <w:t>There are four routes of exposure listed below:</w:t>
      </w:r>
    </w:p>
    <w:p w14:paraId="69266D04" w14:textId="77777777" w:rsidR="002F36B3" w:rsidRPr="002F36B3" w:rsidRDefault="002F36B3" w:rsidP="002F36B3">
      <w:pPr>
        <w:pStyle w:val="ListParagraph"/>
        <w:numPr>
          <w:ilvl w:val="0"/>
          <w:numId w:val="21"/>
        </w:numPr>
        <w:spacing w:before="100" w:beforeAutospacing="1" w:after="100" w:afterAutospacing="1"/>
        <w:rPr>
          <w:rFonts w:ascii="Calibri" w:eastAsia="Times New Roman" w:hAnsi="Calibri" w:cs="Calibri"/>
        </w:rPr>
      </w:pPr>
      <w:r w:rsidRPr="002F36B3">
        <w:rPr>
          <w:rFonts w:ascii="Calibri" w:eastAsia="Times New Roman" w:hAnsi="Calibri" w:cs="Calibri"/>
          <w:b/>
          <w:bCs/>
        </w:rPr>
        <w:t>Inhalation</w:t>
      </w:r>
      <w:r w:rsidRPr="002F36B3">
        <w:rPr>
          <w:rFonts w:ascii="Calibri" w:eastAsia="Times New Roman" w:hAnsi="Calibri" w:cs="Calibri"/>
        </w:rPr>
        <w:t xml:space="preserve"> – the breathing into the lungs of dust, mists, </w:t>
      </w:r>
      <w:proofErr w:type="gramStart"/>
      <w:r w:rsidRPr="002F36B3">
        <w:rPr>
          <w:rFonts w:ascii="Calibri" w:eastAsia="Times New Roman" w:hAnsi="Calibri" w:cs="Calibri"/>
        </w:rPr>
        <w:t>vapors</w:t>
      </w:r>
      <w:proofErr w:type="gramEnd"/>
      <w:r w:rsidRPr="002F36B3">
        <w:rPr>
          <w:rFonts w:ascii="Calibri" w:eastAsia="Times New Roman" w:hAnsi="Calibri" w:cs="Calibri"/>
        </w:rPr>
        <w:t xml:space="preserve"> or smoke.</w:t>
      </w:r>
    </w:p>
    <w:p w14:paraId="02312373" w14:textId="77777777" w:rsidR="002F36B3" w:rsidRPr="002F36B3" w:rsidRDefault="002F36B3" w:rsidP="002F36B3">
      <w:pPr>
        <w:pStyle w:val="ListParagraph"/>
        <w:numPr>
          <w:ilvl w:val="0"/>
          <w:numId w:val="21"/>
        </w:numPr>
        <w:spacing w:before="100" w:beforeAutospacing="1" w:after="100" w:afterAutospacing="1"/>
        <w:rPr>
          <w:rFonts w:ascii="Calibri" w:eastAsia="Times New Roman" w:hAnsi="Calibri" w:cs="Calibri"/>
        </w:rPr>
      </w:pPr>
      <w:r w:rsidRPr="002F36B3">
        <w:rPr>
          <w:rFonts w:ascii="Calibri" w:eastAsia="Times New Roman" w:hAnsi="Calibri" w:cs="Calibri"/>
          <w:b/>
          <w:bCs/>
        </w:rPr>
        <w:t>Ingestion</w:t>
      </w:r>
      <w:r w:rsidRPr="002F36B3">
        <w:rPr>
          <w:rFonts w:ascii="Calibri" w:eastAsia="Times New Roman" w:hAnsi="Calibri" w:cs="Calibri"/>
        </w:rPr>
        <w:t xml:space="preserve"> – taking into the mouth and digestive system contaminated food, drink, tobacco products, etc.</w:t>
      </w:r>
    </w:p>
    <w:p w14:paraId="3229A2F5" w14:textId="77777777" w:rsidR="002F36B3" w:rsidRPr="002F36B3" w:rsidRDefault="002F36B3" w:rsidP="002F36B3">
      <w:pPr>
        <w:pStyle w:val="ListParagraph"/>
        <w:numPr>
          <w:ilvl w:val="0"/>
          <w:numId w:val="21"/>
        </w:numPr>
        <w:spacing w:before="100" w:beforeAutospacing="1" w:after="100" w:afterAutospacing="1"/>
        <w:rPr>
          <w:rFonts w:ascii="Calibri" w:eastAsia="Times New Roman" w:hAnsi="Calibri" w:cs="Calibri"/>
        </w:rPr>
      </w:pPr>
      <w:r w:rsidRPr="002F36B3">
        <w:rPr>
          <w:rFonts w:ascii="Calibri" w:eastAsia="Times New Roman" w:hAnsi="Calibri" w:cs="Calibri"/>
          <w:b/>
          <w:bCs/>
        </w:rPr>
        <w:t>Absorption</w:t>
      </w:r>
      <w:r w:rsidRPr="002F36B3">
        <w:rPr>
          <w:rFonts w:ascii="Calibri" w:eastAsia="Times New Roman" w:hAnsi="Calibri" w:cs="Calibri"/>
        </w:rPr>
        <w:t xml:space="preserve"> – contact of a chemical with the skin or mucous membranes such as the eyes, nose, mouth, ears. The</w:t>
      </w:r>
      <w:r w:rsidRPr="002F36B3">
        <w:rPr>
          <w:rFonts w:ascii="Calibri" w:eastAsia="Times New Roman" w:hAnsi="Calibri" w:cs="Calibri"/>
        </w:rPr>
        <w:br/>
        <w:t>contacted chemical readily enters the bloodstream through these pathways.</w:t>
      </w:r>
    </w:p>
    <w:p w14:paraId="025D62FB" w14:textId="77777777" w:rsidR="002F36B3" w:rsidRPr="002F36B3" w:rsidRDefault="002F36B3" w:rsidP="002F36B3">
      <w:pPr>
        <w:pStyle w:val="ListParagraph"/>
        <w:numPr>
          <w:ilvl w:val="0"/>
          <w:numId w:val="21"/>
        </w:numPr>
        <w:spacing w:before="100" w:beforeAutospacing="1" w:after="100" w:afterAutospacing="1"/>
        <w:rPr>
          <w:rFonts w:ascii="Calibri" w:eastAsia="Times New Roman" w:hAnsi="Calibri" w:cs="Calibri"/>
        </w:rPr>
      </w:pPr>
      <w:r w:rsidRPr="002F36B3">
        <w:rPr>
          <w:rFonts w:ascii="Calibri" w:eastAsia="Times New Roman" w:hAnsi="Calibri" w:cs="Calibri"/>
          <w:b/>
          <w:bCs/>
        </w:rPr>
        <w:t>Injection</w:t>
      </w:r>
      <w:r w:rsidRPr="002F36B3">
        <w:rPr>
          <w:rFonts w:ascii="Calibri" w:eastAsia="Times New Roman" w:hAnsi="Calibri" w:cs="Calibri"/>
        </w:rPr>
        <w:t xml:space="preserve"> – the forcing of a substance into the body through a needle, high </w:t>
      </w:r>
      <w:proofErr w:type="gramStart"/>
      <w:r w:rsidRPr="002F36B3">
        <w:rPr>
          <w:rFonts w:ascii="Calibri" w:eastAsia="Times New Roman" w:hAnsi="Calibri" w:cs="Calibri"/>
        </w:rPr>
        <w:t>pressure</w:t>
      </w:r>
      <w:proofErr w:type="gramEnd"/>
      <w:r w:rsidRPr="002F36B3">
        <w:rPr>
          <w:rFonts w:ascii="Calibri" w:eastAsia="Times New Roman" w:hAnsi="Calibri" w:cs="Calibri"/>
        </w:rPr>
        <w:t xml:space="preserve"> or puncture from a contaminated</w:t>
      </w:r>
      <w:r w:rsidRPr="002F36B3">
        <w:rPr>
          <w:rFonts w:ascii="Calibri" w:eastAsia="Times New Roman" w:hAnsi="Calibri" w:cs="Calibri"/>
        </w:rPr>
        <w:br/>
        <w:t>object.</w:t>
      </w:r>
    </w:p>
    <w:p w14:paraId="53AAF6B9" w14:textId="3BA5C979" w:rsidR="002F36B3" w:rsidRPr="002F36B3" w:rsidRDefault="002F36B3" w:rsidP="002F36B3">
      <w:pPr>
        <w:spacing w:before="100" w:beforeAutospacing="1" w:after="100" w:afterAutospacing="1"/>
        <w:rPr>
          <w:rFonts w:ascii="Calibri" w:eastAsia="Times New Roman" w:hAnsi="Calibri" w:cs="Calibri"/>
        </w:rPr>
      </w:pPr>
      <w:r w:rsidRPr="002F36B3">
        <w:rPr>
          <w:rFonts w:ascii="Calibri" w:eastAsia="Times New Roman" w:hAnsi="Calibri" w:cs="Calibri"/>
        </w:rPr>
        <w:t xml:space="preserve">Take precautions to prevent these types of exposures on a farm. Always read the Safety Data Sheets (SDS) for all chemicals. These chemical data sheets </w:t>
      </w:r>
      <w:r>
        <w:rPr>
          <w:rFonts w:ascii="Calibri" w:eastAsia="Times New Roman" w:hAnsi="Calibri" w:cs="Calibri"/>
        </w:rPr>
        <w:t>list</w:t>
      </w:r>
      <w:r w:rsidRPr="002F36B3">
        <w:rPr>
          <w:rFonts w:ascii="Calibri" w:eastAsia="Times New Roman" w:hAnsi="Calibri" w:cs="Calibri"/>
        </w:rPr>
        <w:t xml:space="preserve"> the precautions for use, possible health effects, safety controls to use such as personal protective equipment (PPE), contact numbers in case of exposure or large spill/release and withholding periods for crops and livestock.</w:t>
      </w:r>
    </w:p>
    <w:p w14:paraId="75CA5B72" w14:textId="147DC237" w:rsidR="009D75C1" w:rsidRPr="002F36B3" w:rsidRDefault="002F36B3" w:rsidP="002F36B3">
      <w:pPr>
        <w:spacing w:before="100" w:beforeAutospacing="1" w:after="100" w:afterAutospacing="1"/>
        <w:rPr>
          <w:rFonts w:ascii="Calibri" w:eastAsia="Times New Roman" w:hAnsi="Calibri" w:cs="Calibri"/>
        </w:rPr>
      </w:pPr>
      <w:r w:rsidRPr="002F36B3">
        <w:rPr>
          <w:rFonts w:ascii="Calibri" w:eastAsia="Times New Roman" w:hAnsi="Calibri" w:cs="Calibri"/>
        </w:rPr>
        <w:t>For proper storage of chemicals be sure to keep them in their original containers with the original labels. Store chemicals in a secure place that is well ventilated, temperature controlled if possible and a containment solution such as a large catch basin under the storage shed or cabinet. Always store chemicals and PPE separate to protect the PPE from contamination. Always keep a record of the chemicals that you buy, use and store.</w:t>
      </w:r>
      <w:r>
        <w:rPr>
          <w:rFonts w:ascii="Calibri" w:eastAsia="Times New Roman" w:hAnsi="Calibri" w:cs="Calibri"/>
        </w:rPr>
        <w:t xml:space="preserve"> </w:t>
      </w:r>
      <w:r w:rsidRPr="002F36B3">
        <w:rPr>
          <w:rFonts w:ascii="Calibri" w:eastAsia="Times New Roman" w:hAnsi="Calibri" w:cs="Calibri"/>
        </w:rPr>
        <w:t xml:space="preserve">If you </w:t>
      </w:r>
      <w:r w:rsidRPr="002F36B3">
        <w:rPr>
          <w:rFonts w:ascii="Calibri" w:eastAsia="Times New Roman" w:hAnsi="Calibri" w:cs="Calibri"/>
        </w:rPr>
        <w:t>must</w:t>
      </w:r>
      <w:r w:rsidRPr="002F36B3">
        <w:rPr>
          <w:rFonts w:ascii="Calibri" w:eastAsia="Times New Roman" w:hAnsi="Calibri" w:cs="Calibri"/>
        </w:rPr>
        <w:t xml:space="preserve"> transport chemicals, avoid hauling them with food, water, animal feed, etc. to prevent cross contamination.</w:t>
      </w:r>
      <w:r>
        <w:rPr>
          <w:rFonts w:ascii="Calibri" w:eastAsia="Times New Roman" w:hAnsi="Calibri" w:cs="Calibri"/>
        </w:rPr>
        <w:t xml:space="preserve"> </w:t>
      </w:r>
      <w:r w:rsidRPr="002F36B3">
        <w:rPr>
          <w:rFonts w:ascii="Calibri" w:eastAsia="Times New Roman" w:hAnsi="Calibri" w:cs="Calibri"/>
        </w:rPr>
        <w:t>Further, take all the appropriate PPE with you and a written</w:t>
      </w:r>
      <w:r>
        <w:rPr>
          <w:rFonts w:ascii="Calibri" w:eastAsia="Times New Roman" w:hAnsi="Calibri" w:cs="Calibri"/>
        </w:rPr>
        <w:t xml:space="preserve"> </w:t>
      </w:r>
      <w:r w:rsidRPr="002F36B3">
        <w:rPr>
          <w:rFonts w:ascii="Calibri" w:eastAsia="Times New Roman" w:hAnsi="Calibri" w:cs="Calibri"/>
        </w:rPr>
        <w:t>record of what you are</w:t>
      </w:r>
      <w:r>
        <w:rPr>
          <w:rFonts w:ascii="Calibri" w:eastAsia="Times New Roman" w:hAnsi="Calibri" w:cs="Calibri"/>
        </w:rPr>
        <w:t xml:space="preserve"> </w:t>
      </w:r>
      <w:r w:rsidRPr="002F36B3">
        <w:rPr>
          <w:rFonts w:ascii="Calibri" w:eastAsia="Times New Roman" w:hAnsi="Calibri" w:cs="Calibri"/>
        </w:rPr>
        <w:t>carrying in case of a spill.</w:t>
      </w:r>
      <w:r w:rsidR="009D75C1" w:rsidRPr="00F5279E">
        <w:rPr>
          <w:noProof/>
        </w:rPr>
        <w:drawing>
          <wp:anchor distT="0" distB="0" distL="114300" distR="114300" simplePos="0" relativeHeight="251665408" behindDoc="1" locked="0" layoutInCell="1" allowOverlap="1" wp14:anchorId="4901BA94" wp14:editId="625F93DF">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9D75C1" w:rsidRPr="002F36B3"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20A0"/>
    <w:multiLevelType w:val="hybridMultilevel"/>
    <w:tmpl w:val="737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2"/>
  </w:num>
  <w:num w:numId="5">
    <w:abstractNumId w:val="18"/>
  </w:num>
  <w:num w:numId="6">
    <w:abstractNumId w:val="4"/>
  </w:num>
  <w:num w:numId="7">
    <w:abstractNumId w:val="7"/>
  </w:num>
  <w:num w:numId="8">
    <w:abstractNumId w:val="10"/>
  </w:num>
  <w:num w:numId="9">
    <w:abstractNumId w:val="15"/>
  </w:num>
  <w:num w:numId="10">
    <w:abstractNumId w:val="6"/>
  </w:num>
  <w:num w:numId="11">
    <w:abstractNumId w:val="9"/>
  </w:num>
  <w:num w:numId="12">
    <w:abstractNumId w:val="0"/>
  </w:num>
  <w:num w:numId="13">
    <w:abstractNumId w:val="20"/>
  </w:num>
  <w:num w:numId="14">
    <w:abstractNumId w:val="16"/>
  </w:num>
  <w:num w:numId="15">
    <w:abstractNumId w:val="3"/>
  </w:num>
  <w:num w:numId="16">
    <w:abstractNumId w:val="19"/>
  </w:num>
  <w:num w:numId="17">
    <w:abstractNumId w:val="13"/>
  </w:num>
  <w:num w:numId="18">
    <w:abstractNumId w:val="11"/>
  </w:num>
  <w:num w:numId="19">
    <w:abstractNumId w:val="17"/>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7394E"/>
    <w:rsid w:val="002A22A1"/>
    <w:rsid w:val="002F213B"/>
    <w:rsid w:val="002F36B3"/>
    <w:rsid w:val="00332D70"/>
    <w:rsid w:val="00355DB1"/>
    <w:rsid w:val="0036319C"/>
    <w:rsid w:val="00372264"/>
    <w:rsid w:val="003A3910"/>
    <w:rsid w:val="003E4979"/>
    <w:rsid w:val="00430324"/>
    <w:rsid w:val="00451A92"/>
    <w:rsid w:val="00474310"/>
    <w:rsid w:val="005064B6"/>
    <w:rsid w:val="00506D5D"/>
    <w:rsid w:val="00507856"/>
    <w:rsid w:val="005316E4"/>
    <w:rsid w:val="00631C6B"/>
    <w:rsid w:val="006D14EB"/>
    <w:rsid w:val="006D22A1"/>
    <w:rsid w:val="00702238"/>
    <w:rsid w:val="00715AFA"/>
    <w:rsid w:val="00720873"/>
    <w:rsid w:val="00740798"/>
    <w:rsid w:val="00817D2B"/>
    <w:rsid w:val="008602B0"/>
    <w:rsid w:val="008C66F0"/>
    <w:rsid w:val="008D7EE7"/>
    <w:rsid w:val="008E1525"/>
    <w:rsid w:val="00900DE9"/>
    <w:rsid w:val="00936F8C"/>
    <w:rsid w:val="0094031C"/>
    <w:rsid w:val="00944256"/>
    <w:rsid w:val="00955BF5"/>
    <w:rsid w:val="00997A28"/>
    <w:rsid w:val="009C1055"/>
    <w:rsid w:val="009D2E12"/>
    <w:rsid w:val="009D6F5B"/>
    <w:rsid w:val="009D75C1"/>
    <w:rsid w:val="00A637B8"/>
    <w:rsid w:val="00A73F24"/>
    <w:rsid w:val="00AC119A"/>
    <w:rsid w:val="00AF1BEE"/>
    <w:rsid w:val="00AF2B10"/>
    <w:rsid w:val="00B267E4"/>
    <w:rsid w:val="00B66DE0"/>
    <w:rsid w:val="00BA3FDD"/>
    <w:rsid w:val="00C30B31"/>
    <w:rsid w:val="00CA2A57"/>
    <w:rsid w:val="00CA4469"/>
    <w:rsid w:val="00CB05BD"/>
    <w:rsid w:val="00CE0B3B"/>
    <w:rsid w:val="00CF5140"/>
    <w:rsid w:val="00DE1B36"/>
    <w:rsid w:val="00DE428E"/>
    <w:rsid w:val="00DE5688"/>
    <w:rsid w:val="00E02658"/>
    <w:rsid w:val="00E2189E"/>
    <w:rsid w:val="00E601DA"/>
    <w:rsid w:val="00EA3C43"/>
    <w:rsid w:val="00EB7A1F"/>
    <w:rsid w:val="00EB7C7D"/>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76452">
      <w:bodyDiv w:val="1"/>
      <w:marLeft w:val="0"/>
      <w:marRight w:val="0"/>
      <w:marTop w:val="0"/>
      <w:marBottom w:val="0"/>
      <w:divBdr>
        <w:top w:val="none" w:sz="0" w:space="0" w:color="auto"/>
        <w:left w:val="none" w:sz="0" w:space="0" w:color="auto"/>
        <w:bottom w:val="none" w:sz="0" w:space="0" w:color="auto"/>
        <w:right w:val="none" w:sz="0" w:space="0" w:color="auto"/>
      </w:divBdr>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2021-12-02T22:49:00Z</dcterms:created>
  <dcterms:modified xsi:type="dcterms:W3CDTF">2021-12-02T22:49:00Z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